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12945" w14:textId="77777777" w:rsidR="00255753" w:rsidRDefault="00255753" w:rsidP="007849CC">
      <w:pPr>
        <w:pStyle w:val="Heading2"/>
        <w:spacing w:line="276" w:lineRule="auto"/>
        <w:rPr>
          <w:lang w:val="nl-NL"/>
        </w:rPr>
      </w:pPr>
      <w:bookmarkStart w:id="0" w:name="_GoBack"/>
      <w:bookmarkEnd w:id="0"/>
    </w:p>
    <w:p w14:paraId="2C8907F8" w14:textId="77777777" w:rsidR="006842D3" w:rsidRPr="007E6D47" w:rsidRDefault="009E6710" w:rsidP="007849CC">
      <w:pPr>
        <w:pStyle w:val="Heading2"/>
        <w:spacing w:line="276" w:lineRule="auto"/>
        <w:rPr>
          <w:lang w:val="nl-NL"/>
        </w:rPr>
      </w:pPr>
      <w:r>
        <w:rPr>
          <w:lang w:val="nl-NL"/>
        </w:rPr>
        <w:t>Startdocument voor de a</w:t>
      </w:r>
      <w:r w:rsidR="006842D3" w:rsidRPr="007E6D47">
        <w:rPr>
          <w:lang w:val="nl-NL"/>
        </w:rPr>
        <w:t xml:space="preserve">ctiviteit </w:t>
      </w:r>
      <w:r>
        <w:rPr>
          <w:lang w:val="nl-NL"/>
        </w:rPr>
        <w:t>‘</w:t>
      </w:r>
      <w:r w:rsidR="00304C9E">
        <w:rPr>
          <w:lang w:val="nl-NL"/>
        </w:rPr>
        <w:t>Basisnet</w:t>
      </w:r>
      <w:r>
        <w:rPr>
          <w:lang w:val="nl-NL"/>
        </w:rPr>
        <w:t xml:space="preserve">’ </w:t>
      </w:r>
    </w:p>
    <w:p w14:paraId="20038F03" w14:textId="77777777" w:rsidR="006842D3" w:rsidRPr="007E6D47" w:rsidRDefault="006842D3" w:rsidP="007849CC">
      <w:pPr>
        <w:spacing w:after="0" w:line="276" w:lineRule="auto"/>
        <w:rPr>
          <w:rFonts w:asciiTheme="majorHAnsi" w:hAnsiTheme="majorHAnsi" w:cstheme="majorHAnsi"/>
          <w:b/>
          <w:szCs w:val="18"/>
          <w:lang w:val="nl-NL"/>
        </w:rPr>
      </w:pPr>
    </w:p>
    <w:p w14:paraId="4392185E"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Hieronder is de voor het REV van belang zijnde regelgeving </w:t>
      </w:r>
      <w:proofErr w:type="spellStart"/>
      <w:r w:rsidRPr="007E6D47">
        <w:rPr>
          <w:rFonts w:asciiTheme="majorHAnsi" w:eastAsiaTheme="minorEastAsia" w:hAnsiTheme="majorHAnsi" w:cstheme="majorHAnsi"/>
          <w:szCs w:val="18"/>
          <w:lang w:val="nl-NL" w:eastAsia="nl-NL"/>
        </w:rPr>
        <w:t>mbt</w:t>
      </w:r>
      <w:proofErr w:type="spellEnd"/>
      <w:r w:rsidRPr="007E6D47">
        <w:rPr>
          <w:rFonts w:asciiTheme="majorHAnsi" w:eastAsiaTheme="minorEastAsia" w:hAnsiTheme="majorHAnsi" w:cstheme="majorHAnsi"/>
          <w:szCs w:val="18"/>
          <w:lang w:val="nl-NL" w:eastAsia="nl-NL"/>
        </w:rPr>
        <w:t xml:space="preserve"> </w:t>
      </w:r>
      <w:r w:rsidR="00E93F88">
        <w:rPr>
          <w:rFonts w:asciiTheme="majorHAnsi" w:eastAsiaTheme="minorEastAsia" w:hAnsiTheme="majorHAnsi" w:cstheme="majorHAnsi"/>
          <w:szCs w:val="18"/>
          <w:lang w:val="nl-NL" w:eastAsia="nl-NL"/>
        </w:rPr>
        <w:t>basisnet</w:t>
      </w:r>
      <w:r w:rsidRPr="007E6D47">
        <w:rPr>
          <w:rFonts w:asciiTheme="majorHAnsi" w:eastAsiaTheme="minorEastAsia" w:hAnsiTheme="majorHAnsi" w:cstheme="majorHAnsi"/>
          <w:szCs w:val="18"/>
          <w:lang w:val="nl-NL" w:eastAsia="nl-NL"/>
        </w:rPr>
        <w:t xml:space="preserve"> opgenomen die in het </w:t>
      </w:r>
      <w:proofErr w:type="spellStart"/>
      <w:r w:rsidRPr="007E6D47">
        <w:rPr>
          <w:rFonts w:asciiTheme="majorHAnsi" w:eastAsiaTheme="minorEastAsia" w:hAnsiTheme="majorHAnsi" w:cstheme="majorHAnsi"/>
          <w:szCs w:val="18"/>
          <w:lang w:val="nl-NL" w:eastAsia="nl-NL"/>
        </w:rPr>
        <w:t>Bkl</w:t>
      </w:r>
      <w:proofErr w:type="spellEnd"/>
      <w:r w:rsidR="00E93F88">
        <w:rPr>
          <w:rFonts w:asciiTheme="majorHAnsi" w:eastAsiaTheme="minorEastAsia" w:hAnsiTheme="majorHAnsi" w:cstheme="majorHAnsi"/>
          <w:szCs w:val="18"/>
          <w:lang w:val="nl-NL" w:eastAsia="nl-NL"/>
        </w:rPr>
        <w:t xml:space="preserve"> en, voor zover van toepassing,  </w:t>
      </w:r>
      <w:r w:rsidRPr="007E6D47">
        <w:rPr>
          <w:rFonts w:asciiTheme="majorHAnsi" w:eastAsiaTheme="minorEastAsia" w:hAnsiTheme="majorHAnsi" w:cstheme="majorHAnsi"/>
          <w:szCs w:val="18"/>
          <w:lang w:val="nl-NL" w:eastAsia="nl-NL"/>
        </w:rPr>
        <w:t xml:space="preserve">het Bal </w:t>
      </w:r>
      <w:r w:rsidR="00E93F88">
        <w:rPr>
          <w:rFonts w:asciiTheme="majorHAnsi" w:eastAsiaTheme="minorEastAsia" w:hAnsiTheme="majorHAnsi" w:cstheme="majorHAnsi"/>
          <w:szCs w:val="18"/>
          <w:lang w:val="nl-NL" w:eastAsia="nl-NL"/>
        </w:rPr>
        <w:t xml:space="preserve">(voorhangversie (mei 2019) </w:t>
      </w:r>
      <w:r w:rsidRPr="007E6D47">
        <w:rPr>
          <w:rFonts w:asciiTheme="majorHAnsi" w:eastAsiaTheme="minorEastAsia" w:hAnsiTheme="majorHAnsi" w:cstheme="majorHAnsi"/>
          <w:szCs w:val="18"/>
          <w:lang w:val="nl-NL" w:eastAsia="nl-NL"/>
        </w:rPr>
        <w:t>staat. Dit is niet volledig, bijvoorbeeld moet nog worden opgenomen (in de Omgevingsregeling) op welke wijze de informatie door de bevoegde gezagen aangeleverd moet worden. In rood de relevante passages, waaruit, in de tabel</w:t>
      </w:r>
      <w:r w:rsidR="00A300E0">
        <w:rPr>
          <w:rFonts w:asciiTheme="majorHAnsi" w:eastAsiaTheme="minorEastAsia" w:hAnsiTheme="majorHAnsi" w:cstheme="majorHAnsi"/>
          <w:szCs w:val="18"/>
          <w:lang w:val="nl-NL" w:eastAsia="nl-NL"/>
        </w:rPr>
        <w:t xml:space="preserve"> 1 </w:t>
      </w:r>
      <w:r w:rsidRPr="007E6D47">
        <w:rPr>
          <w:rFonts w:asciiTheme="majorHAnsi" w:eastAsiaTheme="minorEastAsia" w:hAnsiTheme="majorHAnsi" w:cstheme="majorHAnsi"/>
          <w:szCs w:val="18"/>
          <w:lang w:val="nl-NL" w:eastAsia="nl-NL"/>
        </w:rPr>
        <w:t>de inhoudelijke kant van de “uitvraag” is samengevat. We zullen nog nader moeten bezien hoe we de informatie precies gepresenteerd willen hebben (op een kaart is voor de hand</w:t>
      </w:r>
      <w:r w:rsidR="00E93F88">
        <w:rPr>
          <w:rFonts w:asciiTheme="majorHAnsi" w:eastAsiaTheme="minorEastAsia" w:hAnsiTheme="majorHAnsi" w:cstheme="majorHAnsi"/>
          <w:szCs w:val="18"/>
          <w:lang w:val="nl-NL" w:eastAsia="nl-NL"/>
        </w:rPr>
        <w:t xml:space="preserve"> </w:t>
      </w:r>
      <w:r w:rsidRPr="007E6D47">
        <w:rPr>
          <w:rFonts w:asciiTheme="majorHAnsi" w:eastAsiaTheme="minorEastAsia" w:hAnsiTheme="majorHAnsi" w:cstheme="majorHAnsi"/>
          <w:szCs w:val="18"/>
          <w:lang w:val="nl-NL" w:eastAsia="nl-NL"/>
        </w:rPr>
        <w:t xml:space="preserve">liggend), maar mogelijk is dit niet precies genoeg voor de juridische betekenis van de gebieden.  </w:t>
      </w:r>
    </w:p>
    <w:p w14:paraId="56BDA36A" w14:textId="77777777" w:rsidR="007849CC" w:rsidRPr="007E6D47" w:rsidRDefault="007849CC" w:rsidP="007849CC">
      <w:pPr>
        <w:autoSpaceDE w:val="0"/>
        <w:autoSpaceDN w:val="0"/>
        <w:adjustRightInd w:val="0"/>
        <w:spacing w:after="0" w:line="276" w:lineRule="auto"/>
        <w:rPr>
          <w:rFonts w:asciiTheme="majorHAnsi" w:eastAsiaTheme="minorEastAsia" w:hAnsiTheme="majorHAnsi" w:cstheme="majorHAnsi"/>
          <w:szCs w:val="18"/>
          <w:lang w:val="nl-NL" w:eastAsia="nl-NL"/>
        </w:rPr>
      </w:pPr>
    </w:p>
    <w:p w14:paraId="44330E79" w14:textId="77777777" w:rsidR="006842D3" w:rsidRPr="007E6D47" w:rsidRDefault="00E6322E" w:rsidP="007849CC">
      <w:pPr>
        <w:pStyle w:val="Heading2"/>
        <w:spacing w:line="276" w:lineRule="auto"/>
        <w:rPr>
          <w:rFonts w:eastAsiaTheme="minorEastAsia"/>
          <w:lang w:val="nl-NL" w:eastAsia="nl-NL"/>
        </w:rPr>
      </w:pPr>
      <w:r>
        <w:rPr>
          <w:rFonts w:eastAsiaTheme="minorEastAsia"/>
          <w:lang w:val="nl-NL" w:eastAsia="nl-NL"/>
        </w:rPr>
        <w:t xml:space="preserve">Gegevensverzameling </w:t>
      </w:r>
      <w:proofErr w:type="spellStart"/>
      <w:r w:rsidR="006842D3" w:rsidRPr="007E6D47">
        <w:rPr>
          <w:rFonts w:eastAsiaTheme="minorEastAsia"/>
          <w:lang w:val="nl-NL" w:eastAsia="nl-NL"/>
        </w:rPr>
        <w:t>B</w:t>
      </w:r>
      <w:r w:rsidR="00E93F88">
        <w:rPr>
          <w:rFonts w:eastAsiaTheme="minorEastAsia"/>
          <w:lang w:val="nl-NL" w:eastAsia="nl-NL"/>
        </w:rPr>
        <w:t>kl</w:t>
      </w:r>
      <w:proofErr w:type="spellEnd"/>
      <w:r w:rsidR="009E6710">
        <w:rPr>
          <w:rFonts w:eastAsiaTheme="minorEastAsia"/>
          <w:lang w:val="nl-NL" w:eastAsia="nl-NL"/>
        </w:rPr>
        <w:t xml:space="preserve"> </w:t>
      </w:r>
      <w:r w:rsidR="00A6624A">
        <w:rPr>
          <w:rFonts w:eastAsiaTheme="minorEastAsia"/>
          <w:lang w:val="nl-NL" w:eastAsia="nl-NL"/>
        </w:rPr>
        <w:t xml:space="preserve">(voorhangversie (mei 2019), </w:t>
      </w:r>
      <w:r w:rsidR="009E6710">
        <w:rPr>
          <w:rFonts w:eastAsiaTheme="minorEastAsia"/>
          <w:lang w:val="nl-NL" w:eastAsia="nl-NL"/>
        </w:rPr>
        <w:t>voor ‘</w:t>
      </w:r>
      <w:r w:rsidR="00304C9E">
        <w:rPr>
          <w:rFonts w:eastAsiaTheme="minorEastAsia"/>
          <w:lang w:val="nl-NL" w:eastAsia="nl-NL"/>
        </w:rPr>
        <w:t>Basisnet</w:t>
      </w:r>
      <w:r w:rsidR="009E6710">
        <w:rPr>
          <w:rFonts w:eastAsiaTheme="minorEastAsia"/>
          <w:lang w:val="nl-NL" w:eastAsia="nl-NL"/>
        </w:rPr>
        <w:t>’</w:t>
      </w:r>
      <w:r w:rsidR="00A6624A">
        <w:rPr>
          <w:rFonts w:eastAsiaTheme="minorEastAsia"/>
          <w:lang w:val="nl-NL" w:eastAsia="nl-NL"/>
        </w:rPr>
        <w:t>)</w:t>
      </w:r>
    </w:p>
    <w:p w14:paraId="75BF002F" w14:textId="77777777" w:rsidR="00224CAF" w:rsidRDefault="00162454"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r w:rsidRPr="00A6624A">
        <w:rPr>
          <w:rFonts w:asciiTheme="majorHAnsi" w:eastAsiaTheme="minorEastAsia" w:hAnsiTheme="majorHAnsi" w:cstheme="majorHAnsi"/>
          <w:b/>
          <w:szCs w:val="18"/>
          <w:lang w:val="nl-NL" w:eastAsia="nl-NL"/>
        </w:rPr>
        <w:t>Art. 10.</w:t>
      </w:r>
      <w:r w:rsidR="00304C9E" w:rsidRPr="00A6624A">
        <w:rPr>
          <w:rFonts w:asciiTheme="majorHAnsi" w:eastAsiaTheme="minorEastAsia" w:hAnsiTheme="majorHAnsi" w:cstheme="majorHAnsi"/>
          <w:b/>
          <w:szCs w:val="18"/>
          <w:lang w:val="nl-NL" w:eastAsia="nl-NL"/>
        </w:rPr>
        <w:t>1</w:t>
      </w:r>
      <w:r w:rsidRPr="00A6624A">
        <w:rPr>
          <w:rFonts w:asciiTheme="majorHAnsi" w:eastAsiaTheme="minorEastAsia" w:hAnsiTheme="majorHAnsi" w:cstheme="majorHAnsi"/>
          <w:b/>
          <w:szCs w:val="18"/>
          <w:lang w:val="nl-NL" w:eastAsia="nl-NL"/>
        </w:rPr>
        <w:t xml:space="preserve"> tot en met 10.7 en 10.8 (BKL)</w:t>
      </w:r>
    </w:p>
    <w:p w14:paraId="3B770F2C" w14:textId="77777777" w:rsidR="00162454" w:rsidRPr="007E6D47" w:rsidRDefault="00224CAF"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r w:rsidRPr="007E6D47">
        <w:rPr>
          <w:rFonts w:asciiTheme="majorHAnsi" w:eastAsiaTheme="minorEastAsia" w:hAnsiTheme="majorHAnsi" w:cstheme="majorHAnsi"/>
          <w:b/>
          <w:szCs w:val="18"/>
          <w:lang w:val="nl-NL" w:eastAsia="nl-NL"/>
        </w:rPr>
        <w:t xml:space="preserve"> </w:t>
      </w:r>
    </w:p>
    <w:p w14:paraId="618DEDD0"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proofErr w:type="spellStart"/>
      <w:r w:rsidRPr="007E6D47">
        <w:rPr>
          <w:rFonts w:asciiTheme="majorHAnsi" w:eastAsiaTheme="minorEastAsia" w:hAnsiTheme="majorHAnsi" w:cstheme="majorHAnsi"/>
          <w:b/>
          <w:szCs w:val="18"/>
          <w:lang w:val="nl-NL" w:eastAsia="nl-NL"/>
        </w:rPr>
        <w:t>Bkl</w:t>
      </w:r>
      <w:proofErr w:type="spellEnd"/>
      <w:r w:rsidRPr="007E6D47">
        <w:rPr>
          <w:rFonts w:asciiTheme="majorHAnsi" w:eastAsiaTheme="minorEastAsia" w:hAnsiTheme="majorHAnsi" w:cstheme="majorHAnsi"/>
          <w:b/>
          <w:szCs w:val="18"/>
          <w:lang w:val="nl-NL" w:eastAsia="nl-NL"/>
        </w:rPr>
        <w:t>, Artikel 10.1</w:t>
      </w:r>
      <w:r w:rsidRPr="007E6D47">
        <w:rPr>
          <w:rFonts w:asciiTheme="majorHAnsi" w:eastAsiaTheme="minorEastAsia" w:hAnsiTheme="majorHAnsi" w:cstheme="majorHAnsi"/>
          <w:b/>
          <w:bCs/>
          <w:color w:val="000000"/>
          <w:szCs w:val="18"/>
          <w:lang w:val="nl-NL" w:eastAsia="nl-NL"/>
        </w:rPr>
        <w:t xml:space="preserve"> (verantwoordelijkheid gegevensverzameling externe veiligheidsrisico’s)</w:t>
      </w:r>
    </w:p>
    <w:p w14:paraId="1CE934CF" w14:textId="77777777" w:rsidR="006842D3" w:rsidRPr="00F650B5" w:rsidRDefault="006842D3" w:rsidP="00F650B5">
      <w:pPr>
        <w:autoSpaceDE w:val="0"/>
        <w:autoSpaceDN w:val="0"/>
        <w:adjustRightInd w:val="0"/>
        <w:spacing w:after="0" w:line="276" w:lineRule="auto"/>
        <w:rPr>
          <w:rFonts w:asciiTheme="majorHAnsi" w:eastAsiaTheme="minorEastAsia" w:hAnsiTheme="majorHAnsi" w:cstheme="majorHAnsi"/>
          <w:szCs w:val="18"/>
          <w:lang w:val="nl-NL" w:eastAsia="nl-NL"/>
        </w:rPr>
      </w:pPr>
      <w:r w:rsidRPr="00F650B5">
        <w:rPr>
          <w:rFonts w:asciiTheme="majorHAnsi" w:eastAsiaTheme="minorEastAsia" w:hAnsiTheme="majorHAnsi" w:cstheme="majorHAnsi"/>
          <w:szCs w:val="18"/>
          <w:lang w:val="nl-NL" w:eastAsia="nl-NL"/>
        </w:rPr>
        <w:t xml:space="preserve">De volgende bestuursorganen verzamelen gegevens over externe veiligheidsrisico’s: </w:t>
      </w:r>
    </w:p>
    <w:p w14:paraId="399BA06C" w14:textId="77777777" w:rsidR="00304C9E" w:rsidRPr="00F650B5" w:rsidRDefault="00304C9E" w:rsidP="00F650B5">
      <w:pPr>
        <w:spacing w:after="0" w:line="276" w:lineRule="auto"/>
        <w:rPr>
          <w:rFonts w:asciiTheme="majorHAnsi" w:hAnsiTheme="majorHAnsi" w:cstheme="majorHAnsi"/>
          <w:szCs w:val="18"/>
          <w:lang w:val="nl-NL"/>
        </w:rPr>
      </w:pPr>
      <w:r w:rsidRPr="00F650B5">
        <w:rPr>
          <w:rFonts w:asciiTheme="majorHAnsi" w:hAnsiTheme="majorHAnsi" w:cstheme="majorHAnsi"/>
          <w:szCs w:val="18"/>
          <w:lang w:val="nl-NL"/>
        </w:rPr>
        <w:t>[…]</w:t>
      </w:r>
    </w:p>
    <w:p w14:paraId="2266240E" w14:textId="77777777" w:rsidR="00304C9E" w:rsidRPr="00F650B5" w:rsidRDefault="00304C9E" w:rsidP="00F650B5">
      <w:pPr>
        <w:spacing w:after="0" w:line="276" w:lineRule="auto"/>
        <w:rPr>
          <w:rFonts w:asciiTheme="majorHAnsi" w:hAnsiTheme="majorHAnsi" w:cstheme="majorHAnsi"/>
          <w:szCs w:val="18"/>
          <w:lang w:val="nl-NL"/>
        </w:rPr>
      </w:pPr>
      <w:r w:rsidRPr="00F650B5">
        <w:rPr>
          <w:rFonts w:asciiTheme="majorHAnsi" w:hAnsiTheme="majorHAnsi" w:cstheme="majorHAnsi"/>
          <w:szCs w:val="18"/>
          <w:lang w:val="nl-NL"/>
        </w:rPr>
        <w:t>c. Onze Minister van Infrastructuur en Waterstaat, als het gaat om:</w:t>
      </w:r>
    </w:p>
    <w:p w14:paraId="4381F83D" w14:textId="77777777" w:rsidR="006842D3" w:rsidRPr="00B426FC" w:rsidRDefault="00304C9E" w:rsidP="00F650B5">
      <w:pPr>
        <w:spacing w:after="0"/>
        <w:rPr>
          <w:rFonts w:asciiTheme="majorHAnsi" w:hAnsiTheme="majorHAnsi" w:cstheme="majorHAnsi"/>
          <w:szCs w:val="18"/>
          <w:lang w:val="nl-NL"/>
        </w:rPr>
      </w:pPr>
      <w:r w:rsidRPr="00B426FC">
        <w:rPr>
          <w:rFonts w:asciiTheme="majorHAnsi" w:hAnsiTheme="majorHAnsi" w:cstheme="majorHAnsi"/>
          <w:szCs w:val="18"/>
          <w:lang w:val="nl-NL"/>
        </w:rPr>
        <w:t>1°. het basisnet;</w:t>
      </w:r>
    </w:p>
    <w:p w14:paraId="6C1D1D1D" w14:textId="77777777" w:rsidR="00304C9E" w:rsidRPr="00B426FC" w:rsidRDefault="00304C9E" w:rsidP="00F650B5">
      <w:pPr>
        <w:spacing w:after="0"/>
        <w:rPr>
          <w:rFonts w:asciiTheme="majorHAnsi" w:hAnsiTheme="majorHAnsi" w:cstheme="majorHAnsi"/>
          <w:szCs w:val="18"/>
          <w:lang w:val="nl-NL"/>
        </w:rPr>
      </w:pPr>
      <w:r w:rsidRPr="00B426FC">
        <w:rPr>
          <w:rFonts w:asciiTheme="majorHAnsi" w:hAnsiTheme="majorHAnsi" w:cstheme="majorHAnsi"/>
          <w:szCs w:val="18"/>
          <w:lang w:val="nl-NL"/>
        </w:rPr>
        <w:t>[…]</w:t>
      </w:r>
    </w:p>
    <w:p w14:paraId="33F2E363" w14:textId="77777777" w:rsidR="00F650B5" w:rsidRPr="00F650B5" w:rsidRDefault="00F650B5" w:rsidP="00F650B5">
      <w:pPr>
        <w:spacing w:after="0"/>
        <w:rPr>
          <w:rFonts w:asciiTheme="majorHAnsi" w:eastAsiaTheme="minorEastAsia" w:hAnsiTheme="majorHAnsi" w:cstheme="majorHAnsi"/>
          <w:b/>
          <w:bCs/>
          <w:color w:val="000000"/>
          <w:szCs w:val="18"/>
          <w:lang w:val="nl-NL" w:eastAsia="nl-NL"/>
        </w:rPr>
      </w:pPr>
    </w:p>
    <w:p w14:paraId="080A1E91" w14:textId="77777777" w:rsidR="006842D3" w:rsidRPr="00A6624A" w:rsidRDefault="00A6624A"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A6624A">
        <w:rPr>
          <w:rFonts w:asciiTheme="majorHAnsi" w:hAnsiTheme="majorHAnsi" w:cstheme="majorHAnsi"/>
          <w:b/>
          <w:bCs/>
          <w:szCs w:val="18"/>
          <w:lang w:val="nl-NL"/>
        </w:rPr>
        <w:t xml:space="preserve">Artikel 10.5 (gegevensverzameling </w:t>
      </w:r>
      <w:r w:rsidRPr="00A6624A">
        <w:rPr>
          <w:rFonts w:asciiTheme="majorHAnsi" w:hAnsiTheme="majorHAnsi" w:cstheme="majorHAnsi"/>
          <w:b/>
          <w:bCs/>
          <w:color w:val="FF0000"/>
          <w:szCs w:val="18"/>
          <w:lang w:val="nl-NL"/>
        </w:rPr>
        <w:t>basisnet</w:t>
      </w:r>
      <w:r w:rsidRPr="00A6624A">
        <w:rPr>
          <w:rFonts w:asciiTheme="majorHAnsi" w:hAnsiTheme="majorHAnsi" w:cstheme="majorHAnsi"/>
          <w:b/>
          <w:bCs/>
          <w:szCs w:val="18"/>
          <w:lang w:val="nl-NL"/>
        </w:rPr>
        <w:t>, buisleidingen met gevaarlijke stoffen</w:t>
      </w:r>
      <w:r w:rsidRPr="00A6624A">
        <w:rPr>
          <w:rFonts w:asciiTheme="majorHAnsi" w:hAnsiTheme="majorHAnsi" w:cstheme="majorHAnsi"/>
          <w:b/>
          <w:bCs/>
          <w:color w:val="366C95"/>
          <w:szCs w:val="18"/>
          <w:lang w:val="nl-NL"/>
        </w:rPr>
        <w:t xml:space="preserve">, </w:t>
      </w:r>
      <w:r w:rsidRPr="00A6624A">
        <w:rPr>
          <w:rFonts w:asciiTheme="majorHAnsi" w:hAnsiTheme="majorHAnsi" w:cstheme="majorHAnsi"/>
          <w:b/>
          <w:bCs/>
          <w:szCs w:val="18"/>
          <w:lang w:val="nl-NL"/>
        </w:rPr>
        <w:t>militaire objecten en nucleaire installaties)</w:t>
      </w:r>
    </w:p>
    <w:p w14:paraId="07434CBD" w14:textId="77777777" w:rsidR="00A6624A" w:rsidRPr="00A6624A" w:rsidRDefault="00A6624A" w:rsidP="00A6624A">
      <w:pPr>
        <w:autoSpaceDE w:val="0"/>
        <w:autoSpaceDN w:val="0"/>
        <w:adjustRightInd w:val="0"/>
        <w:spacing w:after="0" w:line="240" w:lineRule="auto"/>
        <w:rPr>
          <w:rFonts w:asciiTheme="majorHAnsi" w:eastAsiaTheme="minorEastAsia" w:hAnsiTheme="majorHAnsi" w:cstheme="majorHAnsi"/>
          <w:color w:val="000000"/>
          <w:szCs w:val="18"/>
          <w:lang w:val="nl-NL" w:eastAsia="nl-NL"/>
        </w:rPr>
      </w:pPr>
      <w:r w:rsidRPr="00A6624A">
        <w:rPr>
          <w:rFonts w:asciiTheme="majorHAnsi" w:eastAsiaTheme="minorEastAsia" w:hAnsiTheme="majorHAnsi" w:cstheme="majorHAnsi"/>
          <w:color w:val="000000"/>
          <w:szCs w:val="18"/>
          <w:lang w:val="nl-NL" w:eastAsia="nl-NL"/>
        </w:rPr>
        <w:t xml:space="preserve">Onze Minister van Infrastructuur en Waterstaat verzamelt de volgende gegevens: </w:t>
      </w:r>
    </w:p>
    <w:p w14:paraId="3BE39AA5" w14:textId="77777777" w:rsidR="00A6624A" w:rsidRPr="00A6624A" w:rsidRDefault="00A6624A" w:rsidP="00A6624A">
      <w:pPr>
        <w:autoSpaceDE w:val="0"/>
        <w:autoSpaceDN w:val="0"/>
        <w:adjustRightInd w:val="0"/>
        <w:spacing w:after="0" w:line="240" w:lineRule="auto"/>
        <w:rPr>
          <w:rFonts w:asciiTheme="majorHAnsi" w:eastAsiaTheme="minorEastAsia" w:hAnsiTheme="majorHAnsi" w:cstheme="majorHAnsi"/>
          <w:color w:val="000000"/>
          <w:szCs w:val="18"/>
          <w:lang w:val="nl-NL" w:eastAsia="nl-NL"/>
        </w:rPr>
      </w:pPr>
      <w:r w:rsidRPr="00A6624A">
        <w:rPr>
          <w:rFonts w:asciiTheme="majorHAnsi" w:eastAsiaTheme="minorEastAsia" w:hAnsiTheme="majorHAnsi" w:cstheme="majorHAnsi"/>
          <w:color w:val="000000"/>
          <w:szCs w:val="18"/>
          <w:lang w:val="nl-NL" w:eastAsia="nl-NL"/>
        </w:rPr>
        <w:t xml:space="preserve">a. als het gaat om het </w:t>
      </w:r>
      <w:r w:rsidRPr="00A6624A">
        <w:rPr>
          <w:rFonts w:asciiTheme="majorHAnsi" w:eastAsiaTheme="minorEastAsia" w:hAnsiTheme="majorHAnsi" w:cstheme="majorHAnsi"/>
          <w:color w:val="FF0000"/>
          <w:szCs w:val="18"/>
          <w:lang w:val="nl-NL" w:eastAsia="nl-NL"/>
        </w:rPr>
        <w:t>basisnet</w:t>
      </w:r>
      <w:r w:rsidRPr="00A6624A">
        <w:rPr>
          <w:rFonts w:asciiTheme="majorHAnsi" w:eastAsiaTheme="minorEastAsia" w:hAnsiTheme="majorHAnsi" w:cstheme="majorHAnsi"/>
          <w:color w:val="000000"/>
          <w:szCs w:val="18"/>
          <w:lang w:val="nl-NL" w:eastAsia="nl-NL"/>
        </w:rPr>
        <w:t xml:space="preserve">: </w:t>
      </w:r>
    </w:p>
    <w:p w14:paraId="25B07752" w14:textId="77777777" w:rsidR="00A6624A" w:rsidRPr="00A6624A" w:rsidRDefault="00A6624A" w:rsidP="00A6624A">
      <w:pPr>
        <w:autoSpaceDE w:val="0"/>
        <w:autoSpaceDN w:val="0"/>
        <w:adjustRightInd w:val="0"/>
        <w:spacing w:after="0" w:line="240" w:lineRule="auto"/>
        <w:rPr>
          <w:rFonts w:asciiTheme="majorHAnsi" w:eastAsiaTheme="minorEastAsia" w:hAnsiTheme="majorHAnsi" w:cstheme="majorHAnsi"/>
          <w:szCs w:val="18"/>
          <w:lang w:val="nl-NL" w:eastAsia="nl-NL"/>
        </w:rPr>
      </w:pPr>
      <w:r w:rsidRPr="00A6624A">
        <w:rPr>
          <w:rFonts w:asciiTheme="majorHAnsi" w:eastAsiaTheme="minorEastAsia" w:hAnsiTheme="majorHAnsi" w:cstheme="majorHAnsi"/>
          <w:color w:val="000000"/>
          <w:szCs w:val="18"/>
          <w:lang w:val="nl-NL" w:eastAsia="nl-NL"/>
        </w:rPr>
        <w:t xml:space="preserve">1°. de afstand tot de </w:t>
      </w:r>
      <w:r w:rsidRPr="00A6624A">
        <w:rPr>
          <w:rFonts w:asciiTheme="majorHAnsi" w:eastAsiaTheme="minorEastAsia" w:hAnsiTheme="majorHAnsi" w:cstheme="majorHAnsi"/>
          <w:color w:val="FF0000"/>
          <w:szCs w:val="18"/>
          <w:lang w:val="nl-NL" w:eastAsia="nl-NL"/>
        </w:rPr>
        <w:t xml:space="preserve">bij ministeriële regeling aangewezen locaties </w:t>
      </w:r>
      <w:r w:rsidRPr="00A6624A">
        <w:rPr>
          <w:rFonts w:asciiTheme="majorHAnsi" w:eastAsiaTheme="minorEastAsia" w:hAnsiTheme="majorHAnsi" w:cstheme="majorHAnsi"/>
          <w:color w:val="000000"/>
          <w:szCs w:val="18"/>
          <w:lang w:val="nl-NL" w:eastAsia="nl-NL"/>
        </w:rPr>
        <w:t xml:space="preserve">waar het </w:t>
      </w:r>
      <w:r w:rsidRPr="00A6624A">
        <w:rPr>
          <w:rFonts w:asciiTheme="majorHAnsi" w:eastAsiaTheme="minorEastAsia" w:hAnsiTheme="majorHAnsi" w:cstheme="majorHAnsi"/>
          <w:color w:val="FF0000"/>
          <w:szCs w:val="18"/>
          <w:lang w:val="nl-NL" w:eastAsia="nl-NL"/>
        </w:rPr>
        <w:t xml:space="preserve">plaatsgebonden risico ten hoogste </w:t>
      </w:r>
      <w:r w:rsidRPr="007E139C">
        <w:rPr>
          <w:rFonts w:asciiTheme="majorHAnsi" w:eastAsiaTheme="minorEastAsia" w:hAnsiTheme="majorHAnsi" w:cstheme="majorHAnsi"/>
          <w:color w:val="FF0000"/>
          <w:szCs w:val="18"/>
          <w:lang w:val="nl-NL" w:eastAsia="nl-NL"/>
        </w:rPr>
        <w:t xml:space="preserve">1 </w:t>
      </w:r>
      <w:r w:rsidRPr="00A6624A">
        <w:rPr>
          <w:rFonts w:asciiTheme="majorHAnsi" w:eastAsiaTheme="minorEastAsia" w:hAnsiTheme="majorHAnsi" w:cstheme="majorHAnsi"/>
          <w:color w:val="FF0000"/>
          <w:szCs w:val="18"/>
          <w:lang w:val="nl-NL" w:eastAsia="nl-NL"/>
        </w:rPr>
        <w:t xml:space="preserve">op de </w:t>
      </w:r>
      <w:r w:rsidRPr="007E139C">
        <w:rPr>
          <w:rFonts w:asciiTheme="majorHAnsi" w:eastAsiaTheme="minorEastAsia" w:hAnsiTheme="majorHAnsi" w:cstheme="majorHAnsi"/>
          <w:color w:val="FF0000"/>
          <w:szCs w:val="18"/>
          <w:lang w:val="nl-NL" w:eastAsia="nl-NL"/>
        </w:rPr>
        <w:t>1.000.000</w:t>
      </w:r>
      <w:r w:rsidRPr="00A6624A">
        <w:rPr>
          <w:rFonts w:asciiTheme="majorHAnsi" w:eastAsiaTheme="minorEastAsia" w:hAnsiTheme="majorHAnsi" w:cstheme="majorHAnsi"/>
          <w:color w:val="FF0000"/>
          <w:szCs w:val="18"/>
          <w:lang w:val="nl-NL" w:eastAsia="nl-NL"/>
        </w:rPr>
        <w:t xml:space="preserve"> per jaar </w:t>
      </w:r>
      <w:r w:rsidRPr="00A6624A">
        <w:rPr>
          <w:rFonts w:asciiTheme="majorHAnsi" w:eastAsiaTheme="minorEastAsia" w:hAnsiTheme="majorHAnsi" w:cstheme="majorHAnsi"/>
          <w:szCs w:val="18"/>
          <w:lang w:val="nl-NL" w:eastAsia="nl-NL"/>
        </w:rPr>
        <w:t xml:space="preserve">is en waarvan de </w:t>
      </w:r>
      <w:r w:rsidRPr="00A6624A">
        <w:rPr>
          <w:rFonts w:asciiTheme="majorHAnsi" w:eastAsiaTheme="minorEastAsia" w:hAnsiTheme="majorHAnsi" w:cstheme="majorHAnsi"/>
          <w:color w:val="FF0000"/>
          <w:szCs w:val="18"/>
          <w:lang w:val="nl-NL" w:eastAsia="nl-NL"/>
        </w:rPr>
        <w:t>geometrische begrenzing bij ministeriële regeling</w:t>
      </w:r>
      <w:r w:rsidRPr="00A6624A">
        <w:rPr>
          <w:rFonts w:asciiTheme="majorHAnsi" w:eastAsiaTheme="minorEastAsia" w:hAnsiTheme="majorHAnsi" w:cstheme="majorHAnsi"/>
          <w:szCs w:val="18"/>
          <w:lang w:val="nl-NL" w:eastAsia="nl-NL"/>
        </w:rPr>
        <w:t xml:space="preserve"> is vastgelegd; en </w:t>
      </w:r>
    </w:p>
    <w:p w14:paraId="7DDE5449" w14:textId="77777777" w:rsidR="006842D3" w:rsidRPr="00A6624A" w:rsidRDefault="00A6624A" w:rsidP="00A6624A">
      <w:pPr>
        <w:autoSpaceDE w:val="0"/>
        <w:autoSpaceDN w:val="0"/>
        <w:adjustRightInd w:val="0"/>
        <w:spacing w:after="0" w:line="276" w:lineRule="auto"/>
        <w:rPr>
          <w:rFonts w:asciiTheme="majorHAnsi" w:hAnsiTheme="majorHAnsi" w:cstheme="majorHAnsi"/>
          <w:b/>
          <w:bCs/>
          <w:color w:val="000000"/>
          <w:szCs w:val="18"/>
          <w:lang w:val="nl-NL"/>
        </w:rPr>
      </w:pPr>
      <w:r w:rsidRPr="007E139C">
        <w:rPr>
          <w:rFonts w:asciiTheme="majorHAnsi" w:eastAsiaTheme="minorEastAsia" w:hAnsiTheme="majorHAnsi" w:cstheme="majorHAnsi"/>
          <w:szCs w:val="18"/>
          <w:lang w:val="nl-NL" w:eastAsia="nl-NL"/>
        </w:rPr>
        <w:t xml:space="preserve">2°. de afstand voor het </w:t>
      </w:r>
      <w:r w:rsidRPr="007E139C">
        <w:rPr>
          <w:rFonts w:asciiTheme="majorHAnsi" w:eastAsiaTheme="minorEastAsia" w:hAnsiTheme="majorHAnsi" w:cstheme="majorHAnsi"/>
          <w:color w:val="FF0000"/>
          <w:szCs w:val="18"/>
          <w:lang w:val="nl-NL" w:eastAsia="nl-NL"/>
        </w:rPr>
        <w:t xml:space="preserve">brand- of explosieaandachtsgebied, bedoeld in bijlage VII, onder C, waarvan de geometrische begrenzing bij ministeriële regeling </w:t>
      </w:r>
      <w:r w:rsidRPr="00A6624A">
        <w:rPr>
          <w:rFonts w:asciiTheme="majorHAnsi" w:eastAsiaTheme="minorEastAsia" w:hAnsiTheme="majorHAnsi" w:cstheme="majorHAnsi"/>
          <w:color w:val="000000"/>
          <w:szCs w:val="18"/>
          <w:lang w:val="nl-NL" w:eastAsia="nl-NL"/>
        </w:rPr>
        <w:t>is vastgelegd;</w:t>
      </w:r>
    </w:p>
    <w:p w14:paraId="55546A02" w14:textId="77777777" w:rsidR="00A6624A" w:rsidRDefault="00A6624A" w:rsidP="007849CC">
      <w:pPr>
        <w:autoSpaceDE w:val="0"/>
        <w:autoSpaceDN w:val="0"/>
        <w:adjustRightInd w:val="0"/>
        <w:spacing w:after="0" w:line="276" w:lineRule="auto"/>
        <w:rPr>
          <w:rFonts w:asciiTheme="majorHAnsi" w:hAnsiTheme="majorHAnsi" w:cstheme="majorHAnsi"/>
          <w:b/>
          <w:bCs/>
          <w:color w:val="000000"/>
          <w:szCs w:val="18"/>
          <w:lang w:val="nl-NL"/>
        </w:rPr>
      </w:pPr>
    </w:p>
    <w:p w14:paraId="2273A160" w14:textId="77777777" w:rsidR="006842D3" w:rsidRDefault="00C63B30" w:rsidP="007849CC">
      <w:pPr>
        <w:spacing w:line="276" w:lineRule="auto"/>
        <w:rPr>
          <w:rFonts w:asciiTheme="majorHAnsi" w:hAnsiTheme="majorHAnsi" w:cstheme="majorHAnsi"/>
          <w:b/>
          <w:szCs w:val="18"/>
          <w:lang w:val="nl-NL"/>
        </w:rPr>
      </w:pPr>
      <w:r>
        <w:rPr>
          <w:rFonts w:asciiTheme="majorHAnsi" w:hAnsiTheme="majorHAnsi" w:cstheme="majorHAnsi"/>
          <w:b/>
          <w:szCs w:val="18"/>
          <w:lang w:val="nl-NL"/>
        </w:rPr>
        <w:t xml:space="preserve">Ob, art. 10.27 </w:t>
      </w:r>
    </w:p>
    <w:p w14:paraId="4902A0C3" w14:textId="77777777" w:rsidR="00C63B30" w:rsidRPr="00C63B30" w:rsidRDefault="00C63B30" w:rsidP="00C63B30">
      <w:pPr>
        <w:pStyle w:val="Default"/>
        <w:rPr>
          <w:rFonts w:asciiTheme="minorHAnsi" w:hAnsiTheme="minorHAnsi" w:cstheme="minorHAnsi"/>
          <w:sz w:val="18"/>
          <w:szCs w:val="18"/>
        </w:rPr>
      </w:pPr>
      <w:r w:rsidRPr="00C63B30">
        <w:rPr>
          <w:rFonts w:asciiTheme="minorHAnsi" w:hAnsiTheme="minorHAnsi" w:cstheme="minorHAnsi"/>
          <w:b/>
          <w:bCs/>
          <w:sz w:val="18"/>
          <w:szCs w:val="18"/>
        </w:rPr>
        <w:t xml:space="preserve">Artikel 10.27 (gegevensverstrekking externe veiligheidsrisico’s) </w:t>
      </w:r>
      <w:r w:rsidR="00A6624A" w:rsidRPr="00A6624A">
        <w:rPr>
          <w:rFonts w:asciiTheme="minorHAnsi" w:hAnsiTheme="minorHAnsi" w:cstheme="minorHAnsi"/>
          <w:b/>
          <w:bCs/>
          <w:color w:val="FF0000"/>
          <w:sz w:val="18"/>
          <w:szCs w:val="18"/>
        </w:rPr>
        <w:t>[niet van toepassing op basisnet, want 10.5</w:t>
      </w:r>
      <w:r w:rsidR="003D55B1">
        <w:rPr>
          <w:rFonts w:asciiTheme="minorHAnsi" w:hAnsiTheme="minorHAnsi" w:cstheme="minorHAnsi"/>
          <w:b/>
          <w:bCs/>
          <w:color w:val="FF0000"/>
          <w:sz w:val="18"/>
          <w:szCs w:val="18"/>
        </w:rPr>
        <w:t xml:space="preserve"> is hierin niet opgenomen</w:t>
      </w:r>
      <w:r w:rsidR="00A6624A" w:rsidRPr="00A6624A">
        <w:rPr>
          <w:rFonts w:asciiTheme="minorHAnsi" w:hAnsiTheme="minorHAnsi" w:cstheme="minorHAnsi"/>
          <w:b/>
          <w:bCs/>
          <w:color w:val="FF0000"/>
          <w:sz w:val="18"/>
          <w:szCs w:val="18"/>
        </w:rPr>
        <w:t>]</w:t>
      </w:r>
    </w:p>
    <w:p w14:paraId="04DE3E39" w14:textId="77777777" w:rsidR="00E93F88" w:rsidRDefault="00E93F88" w:rsidP="007849CC">
      <w:pPr>
        <w:pStyle w:val="Heading2"/>
        <w:spacing w:line="276" w:lineRule="auto"/>
        <w:rPr>
          <w:lang w:val="nl-NL"/>
        </w:rPr>
      </w:pPr>
    </w:p>
    <w:p w14:paraId="5D05BAF7" w14:textId="77777777" w:rsidR="006842D3" w:rsidRPr="007E6D47" w:rsidRDefault="006842D3" w:rsidP="007849CC">
      <w:pPr>
        <w:pStyle w:val="Heading2"/>
        <w:spacing w:line="276" w:lineRule="auto"/>
        <w:rPr>
          <w:lang w:val="nl-NL"/>
        </w:rPr>
      </w:pPr>
      <w:r w:rsidRPr="007E6D47">
        <w:rPr>
          <w:lang w:val="nl-NL"/>
        </w:rPr>
        <w:t xml:space="preserve">Afstanden </w:t>
      </w:r>
      <w:proofErr w:type="spellStart"/>
      <w:r w:rsidR="00E6322E">
        <w:rPr>
          <w:lang w:val="nl-NL"/>
        </w:rPr>
        <w:t>B</w:t>
      </w:r>
      <w:r w:rsidR="00E93F88">
        <w:rPr>
          <w:lang w:val="nl-NL"/>
        </w:rPr>
        <w:t>kl</w:t>
      </w:r>
      <w:proofErr w:type="spellEnd"/>
      <w:r w:rsidR="00E6322E">
        <w:rPr>
          <w:lang w:val="nl-NL"/>
        </w:rPr>
        <w:t xml:space="preserve"> </w:t>
      </w:r>
      <w:r w:rsidR="009E6710">
        <w:rPr>
          <w:rFonts w:eastAsiaTheme="minorEastAsia"/>
          <w:lang w:val="nl-NL" w:eastAsia="nl-NL"/>
        </w:rPr>
        <w:t>voor ‘</w:t>
      </w:r>
      <w:r w:rsidR="00304C9E">
        <w:rPr>
          <w:rFonts w:eastAsiaTheme="minorEastAsia"/>
          <w:lang w:val="nl-NL" w:eastAsia="nl-NL"/>
        </w:rPr>
        <w:t>Basisnet</w:t>
      </w:r>
      <w:r w:rsidR="009E6710">
        <w:rPr>
          <w:rFonts w:eastAsiaTheme="minorEastAsia"/>
          <w:lang w:val="nl-NL" w:eastAsia="nl-NL"/>
        </w:rPr>
        <w:t>’</w:t>
      </w:r>
    </w:p>
    <w:p w14:paraId="3FE280A7" w14:textId="77777777" w:rsidR="00E6322E" w:rsidRDefault="00E6322E" w:rsidP="007849CC">
      <w:pPr>
        <w:autoSpaceDE w:val="0"/>
        <w:autoSpaceDN w:val="0"/>
        <w:adjustRightInd w:val="0"/>
        <w:spacing w:after="0" w:line="276" w:lineRule="auto"/>
        <w:rPr>
          <w:rFonts w:asciiTheme="majorHAnsi" w:eastAsiaTheme="minorEastAsia" w:hAnsiTheme="majorHAnsi" w:cstheme="majorHAnsi"/>
          <w:b/>
          <w:bCs/>
          <w:szCs w:val="18"/>
          <w:lang w:val="nl-NL" w:eastAsia="nl-NL"/>
        </w:rPr>
      </w:pPr>
    </w:p>
    <w:p w14:paraId="6F6E6839" w14:textId="77777777" w:rsidR="00E6322E" w:rsidRPr="007E139C" w:rsidRDefault="00E6322E" w:rsidP="007849CC">
      <w:pPr>
        <w:autoSpaceDE w:val="0"/>
        <w:autoSpaceDN w:val="0"/>
        <w:adjustRightInd w:val="0"/>
        <w:spacing w:after="0" w:line="276" w:lineRule="auto"/>
        <w:rPr>
          <w:rFonts w:asciiTheme="majorHAnsi" w:eastAsiaTheme="minorEastAsia" w:hAnsiTheme="majorHAnsi" w:cstheme="majorHAnsi"/>
          <w:b/>
          <w:bCs/>
          <w:szCs w:val="18"/>
          <w:lang w:val="nl-NL" w:eastAsia="nl-NL"/>
        </w:rPr>
      </w:pPr>
      <w:proofErr w:type="spellStart"/>
      <w:r w:rsidRPr="007E139C">
        <w:rPr>
          <w:rFonts w:asciiTheme="majorHAnsi" w:eastAsiaTheme="minorEastAsia" w:hAnsiTheme="majorHAnsi" w:cstheme="majorHAnsi"/>
          <w:b/>
          <w:bCs/>
          <w:szCs w:val="18"/>
          <w:lang w:val="nl-NL" w:eastAsia="nl-NL"/>
        </w:rPr>
        <w:t>Bkl</w:t>
      </w:r>
      <w:proofErr w:type="spellEnd"/>
      <w:r w:rsidRPr="007E139C">
        <w:rPr>
          <w:rFonts w:asciiTheme="majorHAnsi" w:eastAsiaTheme="minorEastAsia" w:hAnsiTheme="majorHAnsi" w:cstheme="majorHAnsi"/>
          <w:b/>
          <w:bCs/>
          <w:szCs w:val="18"/>
          <w:lang w:val="nl-NL" w:eastAsia="nl-NL"/>
        </w:rPr>
        <w:t xml:space="preserve">, bijlage VII, onder </w:t>
      </w:r>
      <w:r w:rsidR="007E139C" w:rsidRPr="007E139C">
        <w:rPr>
          <w:rFonts w:asciiTheme="majorHAnsi" w:eastAsiaTheme="minorEastAsia" w:hAnsiTheme="majorHAnsi" w:cstheme="majorHAnsi"/>
          <w:b/>
          <w:bCs/>
          <w:szCs w:val="18"/>
          <w:lang w:val="nl-NL" w:eastAsia="nl-NL"/>
        </w:rPr>
        <w:t>C</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90"/>
      </w:tblGrid>
      <w:tr w:rsidR="007E139C" w:rsidRPr="00255753" w14:paraId="3597D2F9" w14:textId="77777777">
        <w:trPr>
          <w:trHeight w:val="333"/>
        </w:trPr>
        <w:tc>
          <w:tcPr>
            <w:tcW w:w="8890" w:type="dxa"/>
          </w:tcPr>
          <w:p w14:paraId="79A13F93" w14:textId="77777777" w:rsidR="007E139C" w:rsidRPr="007E139C" w:rsidRDefault="007E139C" w:rsidP="007E139C">
            <w:pPr>
              <w:autoSpaceDE w:val="0"/>
              <w:autoSpaceDN w:val="0"/>
              <w:adjustRightInd w:val="0"/>
              <w:spacing w:after="0" w:line="240" w:lineRule="auto"/>
              <w:rPr>
                <w:rFonts w:asciiTheme="majorHAnsi" w:hAnsiTheme="majorHAnsi" w:cstheme="majorHAnsi"/>
                <w:szCs w:val="18"/>
                <w:lang w:val="nl-NL"/>
              </w:rPr>
            </w:pPr>
            <w:r w:rsidRPr="007E139C">
              <w:rPr>
                <w:rFonts w:asciiTheme="majorHAnsi" w:hAnsiTheme="majorHAnsi" w:cstheme="majorHAnsi"/>
                <w:b/>
                <w:bCs/>
                <w:szCs w:val="18"/>
                <w:lang w:val="nl-NL"/>
              </w:rPr>
              <w:t xml:space="preserve">Activiteit </w:t>
            </w:r>
          </w:p>
          <w:p w14:paraId="3A10E7C2" w14:textId="77777777" w:rsidR="007E139C" w:rsidRPr="007E139C" w:rsidRDefault="007E139C" w:rsidP="007E139C">
            <w:pPr>
              <w:autoSpaceDE w:val="0"/>
              <w:autoSpaceDN w:val="0"/>
              <w:adjustRightInd w:val="0"/>
              <w:spacing w:after="0" w:line="240" w:lineRule="auto"/>
              <w:rPr>
                <w:rFonts w:asciiTheme="majorHAnsi" w:hAnsiTheme="majorHAnsi" w:cstheme="majorHAnsi"/>
                <w:szCs w:val="18"/>
                <w:lang w:val="nl-NL"/>
              </w:rPr>
            </w:pPr>
            <w:r w:rsidRPr="007E139C">
              <w:rPr>
                <w:rFonts w:asciiTheme="majorHAnsi" w:hAnsiTheme="majorHAnsi" w:cstheme="majorHAnsi"/>
                <w:szCs w:val="18"/>
                <w:lang w:val="nl-NL"/>
              </w:rPr>
              <w:t xml:space="preserve">Het vervoer van gevaarlijke stoffen als bedoeld in artikel 1 van de Wet vervoer gevaarlijke stoffen over het basisnet </w:t>
            </w:r>
          </w:p>
        </w:tc>
      </w:tr>
    </w:tbl>
    <w:p w14:paraId="1C85579A" w14:textId="77777777" w:rsidR="00E6322E" w:rsidRPr="007E139C"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p>
    <w:p w14:paraId="427E6AD0" w14:textId="77777777" w:rsidR="00E6322E" w:rsidRPr="007E139C"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139C">
        <w:rPr>
          <w:rFonts w:asciiTheme="majorHAnsi" w:eastAsiaTheme="minorEastAsia" w:hAnsiTheme="majorHAnsi" w:cstheme="majorHAnsi"/>
          <w:b/>
          <w:bCs/>
          <w:szCs w:val="18"/>
          <w:lang w:val="nl-NL" w:eastAsia="nl-NL"/>
        </w:rPr>
        <w:t xml:space="preserve">Afstand plaatsgebonden risico </w:t>
      </w:r>
    </w:p>
    <w:p w14:paraId="06D48C6D" w14:textId="77777777" w:rsidR="007E139C" w:rsidRPr="007E139C" w:rsidRDefault="007E139C" w:rsidP="007E139C">
      <w:pPr>
        <w:pStyle w:val="Default"/>
        <w:rPr>
          <w:rFonts w:asciiTheme="majorHAnsi" w:eastAsiaTheme="minorEastAsia" w:hAnsiTheme="majorHAnsi" w:cstheme="majorHAnsi"/>
          <w:color w:val="auto"/>
          <w:sz w:val="18"/>
          <w:szCs w:val="18"/>
          <w:lang w:eastAsia="nl-NL"/>
        </w:rPr>
      </w:pPr>
      <w:r w:rsidRPr="007E139C">
        <w:rPr>
          <w:rFonts w:asciiTheme="majorHAnsi" w:eastAsiaTheme="minorEastAsia" w:hAnsiTheme="majorHAnsi" w:cstheme="majorHAnsi"/>
          <w:color w:val="auto"/>
          <w:sz w:val="18"/>
          <w:szCs w:val="18"/>
          <w:lang w:eastAsia="nl-NL"/>
        </w:rPr>
        <w:t xml:space="preserve">De afstand tot de locaties die bij ministeriële regeling zijn aangewezen en waarvan de geometrische begrenzing bij ministeriële regeling is vastgelegd </w:t>
      </w:r>
    </w:p>
    <w:p w14:paraId="231BE36D" w14:textId="77777777" w:rsidR="00E6322E" w:rsidRPr="007E139C"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p>
    <w:p w14:paraId="7FF09E6A" w14:textId="77777777" w:rsidR="00E6322E" w:rsidRPr="007E139C"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139C">
        <w:rPr>
          <w:rFonts w:asciiTheme="majorHAnsi" w:eastAsiaTheme="minorEastAsia" w:hAnsiTheme="majorHAnsi" w:cstheme="majorHAnsi"/>
          <w:b/>
          <w:bCs/>
          <w:szCs w:val="18"/>
          <w:lang w:val="nl-NL" w:eastAsia="nl-NL"/>
        </w:rPr>
        <w:t xml:space="preserve">Afstand aandachtsgebieden </w:t>
      </w:r>
    </w:p>
    <w:p w14:paraId="4CFA5632" w14:textId="77777777" w:rsidR="007E139C" w:rsidRPr="007E139C" w:rsidRDefault="007E139C" w:rsidP="007E139C">
      <w:pPr>
        <w:autoSpaceDE w:val="0"/>
        <w:autoSpaceDN w:val="0"/>
        <w:adjustRightInd w:val="0"/>
        <w:spacing w:after="0" w:line="240" w:lineRule="auto"/>
        <w:rPr>
          <w:rFonts w:asciiTheme="majorHAnsi" w:hAnsiTheme="majorHAnsi" w:cstheme="majorHAnsi"/>
          <w:szCs w:val="18"/>
          <w:lang w:val="nl-NL"/>
        </w:rPr>
      </w:pPr>
      <w:r w:rsidRPr="007E139C">
        <w:rPr>
          <w:rFonts w:asciiTheme="majorHAnsi" w:hAnsiTheme="majorHAnsi" w:cstheme="majorHAnsi"/>
          <w:szCs w:val="18"/>
          <w:lang w:val="nl-NL"/>
        </w:rPr>
        <w:t xml:space="preserve">De afstand tot de locaties die bij ministeriële regeling zijn aangewezen en waarvan de geometrische begrenzing bij ministeriële regeling is vastgelegd voor het: </w:t>
      </w:r>
    </w:p>
    <w:p w14:paraId="3AC9A896" w14:textId="77777777" w:rsidR="007E139C" w:rsidRPr="007E139C" w:rsidRDefault="007E139C" w:rsidP="007E139C">
      <w:pPr>
        <w:autoSpaceDE w:val="0"/>
        <w:autoSpaceDN w:val="0"/>
        <w:adjustRightInd w:val="0"/>
        <w:spacing w:after="0" w:line="240" w:lineRule="auto"/>
        <w:rPr>
          <w:rFonts w:asciiTheme="majorHAnsi" w:hAnsiTheme="majorHAnsi" w:cstheme="majorHAnsi"/>
          <w:szCs w:val="18"/>
          <w:lang w:val="nl-NL"/>
        </w:rPr>
      </w:pPr>
      <w:r w:rsidRPr="007E139C">
        <w:rPr>
          <w:rFonts w:asciiTheme="majorHAnsi" w:hAnsiTheme="majorHAnsi" w:cstheme="majorHAnsi"/>
          <w:szCs w:val="18"/>
          <w:lang w:val="nl-NL"/>
        </w:rPr>
        <w:t xml:space="preserve">a. brandaandachtsgebied: 30 m; en </w:t>
      </w:r>
    </w:p>
    <w:p w14:paraId="655555F6" w14:textId="77777777" w:rsidR="00E6322E" w:rsidRPr="007E139C" w:rsidRDefault="007E139C" w:rsidP="007E139C">
      <w:pPr>
        <w:autoSpaceDE w:val="0"/>
        <w:autoSpaceDN w:val="0"/>
        <w:adjustRightInd w:val="0"/>
        <w:spacing w:after="0" w:line="276" w:lineRule="auto"/>
        <w:rPr>
          <w:rFonts w:asciiTheme="majorHAnsi" w:eastAsiaTheme="minorEastAsia" w:hAnsiTheme="majorHAnsi" w:cstheme="majorHAnsi"/>
          <w:b/>
          <w:szCs w:val="18"/>
          <w:lang w:val="nl-NL" w:eastAsia="nl-NL"/>
        </w:rPr>
      </w:pPr>
      <w:r w:rsidRPr="007E139C">
        <w:rPr>
          <w:rFonts w:asciiTheme="majorHAnsi" w:hAnsiTheme="majorHAnsi" w:cstheme="majorHAnsi"/>
          <w:szCs w:val="18"/>
          <w:lang w:val="nl-NL"/>
        </w:rPr>
        <w:t xml:space="preserve">b. explosieaandachtsgebied: 200 m </w:t>
      </w:r>
    </w:p>
    <w:p w14:paraId="15CFA58C" w14:textId="77777777" w:rsidR="006842D3" w:rsidRPr="00B426FC" w:rsidRDefault="006842D3" w:rsidP="007849CC">
      <w:pPr>
        <w:spacing w:after="0" w:line="276" w:lineRule="auto"/>
        <w:rPr>
          <w:rFonts w:asciiTheme="majorHAnsi" w:hAnsiTheme="majorHAnsi" w:cstheme="majorHAnsi"/>
          <w:b/>
          <w:szCs w:val="18"/>
          <w:lang w:val="nl-NL"/>
        </w:rPr>
      </w:pPr>
    </w:p>
    <w:p w14:paraId="5A0EA3E8" w14:textId="77777777" w:rsidR="007E139C" w:rsidRDefault="004A65AB" w:rsidP="007849CC">
      <w:pPr>
        <w:spacing w:after="0" w:line="276" w:lineRule="auto"/>
        <w:rPr>
          <w:rFonts w:asciiTheme="majorHAnsi" w:hAnsiTheme="majorHAnsi" w:cstheme="majorHAnsi"/>
          <w:color w:val="FF0000"/>
          <w:szCs w:val="18"/>
          <w:lang w:val="nl-NL"/>
        </w:rPr>
      </w:pPr>
      <w:r>
        <w:rPr>
          <w:rFonts w:asciiTheme="majorHAnsi" w:hAnsiTheme="majorHAnsi" w:cstheme="majorHAnsi"/>
          <w:color w:val="FF0000"/>
          <w:szCs w:val="18"/>
          <w:lang w:val="nl-NL"/>
        </w:rPr>
        <w:t xml:space="preserve">Het </w:t>
      </w:r>
      <w:r w:rsidR="007E139C" w:rsidRPr="007E139C">
        <w:rPr>
          <w:rFonts w:asciiTheme="majorHAnsi" w:hAnsiTheme="majorHAnsi" w:cstheme="majorHAnsi"/>
          <w:color w:val="FF0000"/>
          <w:szCs w:val="18"/>
          <w:lang w:val="nl-NL"/>
        </w:rPr>
        <w:t xml:space="preserve">Bal </w:t>
      </w:r>
      <w:r>
        <w:rPr>
          <w:rFonts w:asciiTheme="majorHAnsi" w:hAnsiTheme="majorHAnsi" w:cstheme="majorHAnsi"/>
          <w:color w:val="FF0000"/>
          <w:szCs w:val="18"/>
          <w:lang w:val="nl-NL"/>
        </w:rPr>
        <w:t xml:space="preserve">bevat geen regelgeving </w:t>
      </w:r>
      <w:proofErr w:type="spellStart"/>
      <w:r>
        <w:rPr>
          <w:rFonts w:asciiTheme="majorHAnsi" w:hAnsiTheme="majorHAnsi" w:cstheme="majorHAnsi"/>
          <w:color w:val="FF0000"/>
          <w:szCs w:val="18"/>
          <w:lang w:val="nl-NL"/>
        </w:rPr>
        <w:t>tav</w:t>
      </w:r>
      <w:proofErr w:type="spellEnd"/>
      <w:r>
        <w:rPr>
          <w:rFonts w:asciiTheme="majorHAnsi" w:hAnsiTheme="majorHAnsi" w:cstheme="majorHAnsi"/>
          <w:color w:val="FF0000"/>
          <w:szCs w:val="18"/>
          <w:lang w:val="nl-NL"/>
        </w:rPr>
        <w:t xml:space="preserve"> het </w:t>
      </w:r>
      <w:r w:rsidR="007E139C" w:rsidRPr="007E139C">
        <w:rPr>
          <w:rFonts w:asciiTheme="majorHAnsi" w:hAnsiTheme="majorHAnsi" w:cstheme="majorHAnsi"/>
          <w:color w:val="FF0000"/>
          <w:szCs w:val="18"/>
          <w:lang w:val="nl-NL"/>
        </w:rPr>
        <w:t>basisnet</w:t>
      </w:r>
    </w:p>
    <w:p w14:paraId="7EB2D006" w14:textId="77777777" w:rsidR="00A300E0" w:rsidRDefault="00A300E0" w:rsidP="007849CC">
      <w:pPr>
        <w:spacing w:after="0" w:line="276" w:lineRule="auto"/>
        <w:rPr>
          <w:rFonts w:asciiTheme="majorHAnsi" w:hAnsiTheme="majorHAnsi" w:cstheme="majorHAnsi"/>
          <w:color w:val="FF0000"/>
          <w:szCs w:val="18"/>
          <w:lang w:val="nl-NL"/>
        </w:rPr>
      </w:pPr>
    </w:p>
    <w:p w14:paraId="2CE360BB" w14:textId="77777777" w:rsidR="00255753" w:rsidRDefault="00255753">
      <w:pPr>
        <w:rPr>
          <w:rFonts w:asciiTheme="majorHAnsi" w:hAnsiTheme="majorHAnsi" w:cstheme="majorHAnsi"/>
          <w:color w:val="FF0000"/>
          <w:szCs w:val="18"/>
          <w:lang w:val="nl-NL"/>
        </w:rPr>
      </w:pPr>
      <w:r>
        <w:rPr>
          <w:rFonts w:asciiTheme="majorHAnsi" w:hAnsiTheme="majorHAnsi" w:cstheme="majorHAnsi"/>
          <w:color w:val="FF0000"/>
          <w:szCs w:val="18"/>
          <w:lang w:val="nl-NL"/>
        </w:rPr>
        <w:br w:type="page"/>
      </w:r>
    </w:p>
    <w:p w14:paraId="2A02A4CD" w14:textId="77777777" w:rsidR="00255753" w:rsidRPr="007E139C" w:rsidRDefault="00255753" w:rsidP="007849CC">
      <w:pPr>
        <w:spacing w:after="0" w:line="276" w:lineRule="auto"/>
        <w:rPr>
          <w:rFonts w:asciiTheme="majorHAnsi" w:hAnsiTheme="majorHAnsi" w:cstheme="majorHAnsi"/>
          <w:color w:val="FF0000"/>
          <w:szCs w:val="18"/>
          <w:lang w:val="nl-NL"/>
        </w:rPr>
      </w:pPr>
    </w:p>
    <w:p w14:paraId="42790F29" w14:textId="77777777" w:rsidR="00E6322E" w:rsidRDefault="00E6322E" w:rsidP="007849CC">
      <w:pPr>
        <w:pStyle w:val="Heading2"/>
        <w:spacing w:line="276" w:lineRule="auto"/>
        <w:rPr>
          <w:lang w:val="nl-NL"/>
        </w:rPr>
      </w:pPr>
      <w:r>
        <w:rPr>
          <w:lang w:val="nl-NL"/>
        </w:rPr>
        <w:t>Informatietabel</w:t>
      </w:r>
      <w:r w:rsidR="009E6710">
        <w:rPr>
          <w:lang w:val="nl-NL"/>
        </w:rPr>
        <w:t xml:space="preserve"> </w:t>
      </w:r>
      <w:r w:rsidR="009E6710">
        <w:rPr>
          <w:rFonts w:eastAsiaTheme="minorEastAsia"/>
          <w:lang w:val="nl-NL" w:eastAsia="nl-NL"/>
        </w:rPr>
        <w:t>voor ‘</w:t>
      </w:r>
      <w:r w:rsidR="00304C9E">
        <w:rPr>
          <w:rFonts w:eastAsiaTheme="minorEastAsia"/>
          <w:lang w:val="nl-NL" w:eastAsia="nl-NL"/>
        </w:rPr>
        <w:t>Basisnet</w:t>
      </w:r>
      <w:r w:rsidR="009E6710">
        <w:rPr>
          <w:rFonts w:eastAsiaTheme="minorEastAsia"/>
          <w:lang w:val="nl-NL" w:eastAsia="nl-NL"/>
        </w:rPr>
        <w:t>’</w:t>
      </w:r>
    </w:p>
    <w:p w14:paraId="394764B2" w14:textId="77777777" w:rsidR="00E6322E" w:rsidRDefault="00E6322E" w:rsidP="007849CC">
      <w:pPr>
        <w:spacing w:after="0" w:line="276" w:lineRule="auto"/>
        <w:rPr>
          <w:rFonts w:asciiTheme="majorHAnsi" w:hAnsiTheme="majorHAnsi" w:cstheme="majorHAnsi"/>
          <w:b/>
          <w:i/>
          <w:szCs w:val="18"/>
          <w:lang w:val="nl-NL"/>
        </w:rPr>
      </w:pPr>
    </w:p>
    <w:p w14:paraId="02EEE17A" w14:textId="77777777" w:rsidR="00E6322E" w:rsidRPr="007E6D47" w:rsidRDefault="00A300E0" w:rsidP="007849CC">
      <w:pPr>
        <w:spacing w:after="0" w:line="276" w:lineRule="auto"/>
        <w:rPr>
          <w:rFonts w:asciiTheme="majorHAnsi" w:hAnsiTheme="majorHAnsi" w:cstheme="majorHAnsi"/>
          <w:b/>
          <w:i/>
          <w:szCs w:val="18"/>
          <w:lang w:val="nl-NL"/>
        </w:rPr>
      </w:pPr>
      <w:r>
        <w:rPr>
          <w:rFonts w:asciiTheme="majorHAnsi" w:hAnsiTheme="majorHAnsi" w:cstheme="majorHAnsi"/>
          <w:b/>
          <w:i/>
          <w:szCs w:val="18"/>
          <w:lang w:val="nl-NL"/>
        </w:rPr>
        <w:t>T</w:t>
      </w:r>
      <w:r w:rsidR="00E6322E" w:rsidRPr="007E6D47">
        <w:rPr>
          <w:rFonts w:asciiTheme="majorHAnsi" w:hAnsiTheme="majorHAnsi" w:cstheme="majorHAnsi"/>
          <w:b/>
          <w:i/>
          <w:szCs w:val="18"/>
          <w:lang w:val="nl-NL"/>
        </w:rPr>
        <w:t xml:space="preserve">abel 1: Informatie die verzameld wordt </w:t>
      </w:r>
      <w:proofErr w:type="spellStart"/>
      <w:r w:rsidR="00E6322E" w:rsidRPr="007E6D47">
        <w:rPr>
          <w:rFonts w:asciiTheme="majorHAnsi" w:hAnsiTheme="majorHAnsi" w:cstheme="majorHAnsi"/>
          <w:b/>
          <w:i/>
          <w:szCs w:val="18"/>
          <w:lang w:val="nl-NL"/>
        </w:rPr>
        <w:t>ogv</w:t>
      </w:r>
      <w:proofErr w:type="spellEnd"/>
      <w:r w:rsidR="00E6322E" w:rsidRPr="007E6D47">
        <w:rPr>
          <w:rFonts w:asciiTheme="majorHAnsi" w:hAnsiTheme="majorHAnsi" w:cstheme="majorHAnsi"/>
          <w:b/>
          <w:i/>
          <w:szCs w:val="18"/>
          <w:lang w:val="nl-NL"/>
        </w:rPr>
        <w:t xml:space="preserve"> </w:t>
      </w:r>
      <w:proofErr w:type="spellStart"/>
      <w:r w:rsidR="00E6322E" w:rsidRPr="007E6D47">
        <w:rPr>
          <w:rFonts w:asciiTheme="majorHAnsi" w:hAnsiTheme="majorHAnsi" w:cstheme="majorHAnsi"/>
          <w:b/>
          <w:i/>
          <w:szCs w:val="18"/>
          <w:lang w:val="nl-NL"/>
        </w:rPr>
        <w:t>Bkl</w:t>
      </w:r>
      <w:proofErr w:type="spellEnd"/>
      <w:r w:rsidR="00E6322E" w:rsidRPr="007E6D47">
        <w:rPr>
          <w:rFonts w:asciiTheme="majorHAnsi" w:hAnsiTheme="majorHAnsi" w:cstheme="majorHAnsi"/>
          <w:b/>
          <w:i/>
          <w:szCs w:val="18"/>
          <w:lang w:val="nl-NL"/>
        </w:rPr>
        <w:t>, art. 10.</w:t>
      </w:r>
      <w:r w:rsidR="00554093">
        <w:rPr>
          <w:rFonts w:asciiTheme="majorHAnsi" w:hAnsiTheme="majorHAnsi" w:cstheme="majorHAnsi"/>
          <w:b/>
          <w:i/>
          <w:szCs w:val="18"/>
          <w:lang w:val="nl-NL"/>
        </w:rPr>
        <w:t>5, onder a</w:t>
      </w:r>
      <w:r w:rsidR="004A65AB">
        <w:rPr>
          <w:rFonts w:asciiTheme="majorHAnsi" w:hAnsiTheme="majorHAnsi" w:cstheme="majorHAnsi"/>
          <w:b/>
          <w:i/>
          <w:szCs w:val="18"/>
          <w:lang w:val="nl-NL"/>
        </w:rPr>
        <w:t xml:space="preserve"> en bijlage VII, onder C</w:t>
      </w:r>
    </w:p>
    <w:tbl>
      <w:tblPr>
        <w:tblStyle w:val="TableGrid"/>
        <w:tblW w:w="9209" w:type="dxa"/>
        <w:tblLook w:val="04A0" w:firstRow="1" w:lastRow="0" w:firstColumn="1" w:lastColumn="0" w:noHBand="0" w:noVBand="1"/>
      </w:tblPr>
      <w:tblGrid>
        <w:gridCol w:w="582"/>
        <w:gridCol w:w="570"/>
        <w:gridCol w:w="3350"/>
        <w:gridCol w:w="2681"/>
        <w:gridCol w:w="2026"/>
      </w:tblGrid>
      <w:tr w:rsidR="00177174" w:rsidRPr="007E6D47" w14:paraId="02C22B76" w14:textId="77777777" w:rsidTr="00A300E0">
        <w:tc>
          <w:tcPr>
            <w:tcW w:w="582" w:type="dxa"/>
          </w:tcPr>
          <w:p w14:paraId="214CAC83" w14:textId="77777777" w:rsidR="00E6322E" w:rsidRPr="007E6D47" w:rsidRDefault="00554093" w:rsidP="007849CC">
            <w:pPr>
              <w:spacing w:line="276" w:lineRule="auto"/>
              <w:rPr>
                <w:rFonts w:asciiTheme="majorHAnsi" w:hAnsiTheme="majorHAnsi" w:cstheme="majorHAnsi"/>
                <w:b/>
                <w:sz w:val="16"/>
                <w:szCs w:val="16"/>
              </w:rPr>
            </w:pPr>
            <w:proofErr w:type="spellStart"/>
            <w:r>
              <w:rPr>
                <w:rFonts w:asciiTheme="majorHAnsi" w:hAnsiTheme="majorHAnsi" w:cstheme="majorHAnsi"/>
                <w:b/>
                <w:sz w:val="16"/>
                <w:szCs w:val="16"/>
              </w:rPr>
              <w:t>Bkl</w:t>
            </w:r>
            <w:proofErr w:type="spellEnd"/>
          </w:p>
        </w:tc>
        <w:tc>
          <w:tcPr>
            <w:tcW w:w="570" w:type="dxa"/>
          </w:tcPr>
          <w:p w14:paraId="1582D0FF" w14:textId="77777777" w:rsidR="00E6322E" w:rsidRPr="007E6D47" w:rsidRDefault="00A300E0" w:rsidP="007849CC">
            <w:pPr>
              <w:spacing w:line="276" w:lineRule="auto"/>
              <w:rPr>
                <w:rFonts w:asciiTheme="majorHAnsi" w:hAnsiTheme="majorHAnsi" w:cstheme="majorHAnsi"/>
                <w:b/>
                <w:sz w:val="16"/>
                <w:szCs w:val="16"/>
              </w:rPr>
            </w:pPr>
            <w:r>
              <w:rPr>
                <w:rFonts w:asciiTheme="majorHAnsi" w:hAnsiTheme="majorHAnsi" w:cstheme="majorHAnsi"/>
                <w:b/>
                <w:sz w:val="16"/>
                <w:szCs w:val="16"/>
              </w:rPr>
              <w:t>10.5</w:t>
            </w:r>
          </w:p>
        </w:tc>
        <w:tc>
          <w:tcPr>
            <w:tcW w:w="3350" w:type="dxa"/>
          </w:tcPr>
          <w:p w14:paraId="569881FB" w14:textId="77777777" w:rsidR="00E6322E" w:rsidRPr="007E6D47" w:rsidRDefault="00E6322E" w:rsidP="007849CC">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Formulering</w:t>
            </w:r>
            <w:proofErr w:type="spellEnd"/>
            <w:r w:rsidRPr="007E6D47">
              <w:rPr>
                <w:rFonts w:asciiTheme="majorHAnsi" w:hAnsiTheme="majorHAnsi" w:cstheme="majorHAnsi"/>
                <w:b/>
                <w:sz w:val="16"/>
                <w:szCs w:val="16"/>
              </w:rPr>
              <w:t xml:space="preserve"> in </w:t>
            </w:r>
            <w:proofErr w:type="spellStart"/>
            <w:r w:rsidRPr="007E6D47">
              <w:rPr>
                <w:rFonts w:asciiTheme="majorHAnsi" w:hAnsiTheme="majorHAnsi" w:cstheme="majorHAnsi"/>
                <w:b/>
                <w:sz w:val="16"/>
                <w:szCs w:val="16"/>
              </w:rPr>
              <w:t>regelgeving</w:t>
            </w:r>
            <w:proofErr w:type="spellEnd"/>
          </w:p>
        </w:tc>
        <w:tc>
          <w:tcPr>
            <w:tcW w:w="2681" w:type="dxa"/>
          </w:tcPr>
          <w:p w14:paraId="33BF4EA1" w14:textId="77777777" w:rsidR="00E6322E" w:rsidRPr="007E6D47" w:rsidRDefault="00E6322E" w:rsidP="007849CC">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Wijze</w:t>
            </w:r>
            <w:proofErr w:type="spellEnd"/>
            <w:r w:rsidRPr="007E6D47">
              <w:rPr>
                <w:rFonts w:asciiTheme="majorHAnsi" w:hAnsiTheme="majorHAnsi" w:cstheme="majorHAnsi"/>
                <w:b/>
                <w:sz w:val="16"/>
                <w:szCs w:val="16"/>
              </w:rPr>
              <w:t xml:space="preserve"> van </w:t>
            </w:r>
            <w:proofErr w:type="spellStart"/>
            <w:r w:rsidRPr="007E6D47">
              <w:rPr>
                <w:rFonts w:asciiTheme="majorHAnsi" w:hAnsiTheme="majorHAnsi" w:cstheme="majorHAnsi"/>
                <w:b/>
                <w:sz w:val="16"/>
                <w:szCs w:val="16"/>
              </w:rPr>
              <w:t>aanduiding</w:t>
            </w:r>
            <w:proofErr w:type="spellEnd"/>
          </w:p>
        </w:tc>
        <w:tc>
          <w:tcPr>
            <w:tcW w:w="2026" w:type="dxa"/>
          </w:tcPr>
          <w:p w14:paraId="4D38452A" w14:textId="77777777" w:rsidR="00E6322E" w:rsidRPr="007E6D47" w:rsidRDefault="00E6322E" w:rsidP="00A300E0">
            <w:pPr>
              <w:spacing w:line="276" w:lineRule="auto"/>
              <w:rPr>
                <w:rFonts w:asciiTheme="majorHAnsi" w:hAnsiTheme="majorHAnsi" w:cstheme="majorHAnsi"/>
                <w:b/>
                <w:sz w:val="16"/>
                <w:szCs w:val="16"/>
              </w:rPr>
            </w:pPr>
            <w:r w:rsidRPr="007E6D47">
              <w:rPr>
                <w:rFonts w:asciiTheme="majorHAnsi" w:hAnsiTheme="majorHAnsi" w:cstheme="majorHAnsi"/>
                <w:b/>
                <w:sz w:val="16"/>
                <w:szCs w:val="16"/>
              </w:rPr>
              <w:t>Hoe</w:t>
            </w:r>
            <w:r w:rsidR="00A300E0">
              <w:rPr>
                <w:rFonts w:asciiTheme="majorHAnsi" w:hAnsiTheme="majorHAnsi" w:cstheme="majorHAnsi"/>
                <w:b/>
                <w:sz w:val="16"/>
                <w:szCs w:val="16"/>
              </w:rPr>
              <w:t>/</w:t>
            </w:r>
            <w:proofErr w:type="spellStart"/>
            <w:r w:rsidR="00A300E0">
              <w:rPr>
                <w:rFonts w:asciiTheme="majorHAnsi" w:hAnsiTheme="majorHAnsi" w:cstheme="majorHAnsi"/>
                <w:b/>
                <w:sz w:val="16"/>
                <w:szCs w:val="16"/>
              </w:rPr>
              <w:t>bijlage</w:t>
            </w:r>
            <w:proofErr w:type="spellEnd"/>
            <w:r w:rsidR="00A300E0">
              <w:rPr>
                <w:rFonts w:asciiTheme="majorHAnsi" w:hAnsiTheme="majorHAnsi" w:cstheme="majorHAnsi"/>
                <w:b/>
                <w:sz w:val="16"/>
                <w:szCs w:val="16"/>
              </w:rPr>
              <w:t xml:space="preserve"> VII, C</w:t>
            </w:r>
          </w:p>
        </w:tc>
      </w:tr>
      <w:tr w:rsidR="00177174" w:rsidRPr="00255753" w14:paraId="40C0CB59" w14:textId="77777777" w:rsidTr="00A300E0">
        <w:tc>
          <w:tcPr>
            <w:tcW w:w="582" w:type="dxa"/>
            <w:vMerge w:val="restart"/>
            <w:textDirection w:val="btLr"/>
          </w:tcPr>
          <w:p w14:paraId="6E0A011E" w14:textId="77777777" w:rsidR="001C3B5F" w:rsidRPr="00E64AAC" w:rsidRDefault="001C3B5F" w:rsidP="007E139C">
            <w:pPr>
              <w:spacing w:line="276" w:lineRule="auto"/>
              <w:ind w:left="113" w:right="113"/>
              <w:jc w:val="center"/>
              <w:rPr>
                <w:rFonts w:asciiTheme="majorHAnsi" w:hAnsiTheme="majorHAnsi" w:cstheme="majorHAnsi"/>
                <w:sz w:val="16"/>
                <w:szCs w:val="16"/>
                <w:lang w:val="nl-NL"/>
              </w:rPr>
            </w:pPr>
            <w:r w:rsidRPr="00E64AAC">
              <w:rPr>
                <w:rFonts w:asciiTheme="majorHAnsi" w:hAnsiTheme="majorHAnsi" w:cstheme="majorHAnsi"/>
                <w:sz w:val="16"/>
                <w:szCs w:val="16"/>
                <w:lang w:val="nl-NL"/>
              </w:rPr>
              <w:t>Art. 10.5, onder  a</w:t>
            </w:r>
            <w:r w:rsidR="004A65AB">
              <w:rPr>
                <w:rFonts w:asciiTheme="majorHAnsi" w:hAnsiTheme="majorHAnsi" w:cstheme="majorHAnsi"/>
                <w:sz w:val="16"/>
                <w:szCs w:val="16"/>
                <w:lang w:val="nl-NL"/>
              </w:rPr>
              <w:t xml:space="preserve"> en bijlage  VII, onder C</w:t>
            </w:r>
          </w:p>
        </w:tc>
        <w:tc>
          <w:tcPr>
            <w:tcW w:w="570" w:type="dxa"/>
          </w:tcPr>
          <w:p w14:paraId="10D9BF09" w14:textId="77777777" w:rsidR="001C3B5F" w:rsidRPr="00E64AAC" w:rsidRDefault="001C3B5F" w:rsidP="00C83092">
            <w:pPr>
              <w:spacing w:line="276" w:lineRule="auto"/>
              <w:rPr>
                <w:rFonts w:asciiTheme="majorHAnsi" w:hAnsiTheme="majorHAnsi" w:cstheme="majorHAnsi"/>
                <w:sz w:val="16"/>
                <w:szCs w:val="16"/>
                <w:lang w:val="nl-NL"/>
              </w:rPr>
            </w:pPr>
            <w:r w:rsidRPr="00E64AAC">
              <w:rPr>
                <w:rFonts w:asciiTheme="majorHAnsi" w:hAnsiTheme="majorHAnsi" w:cstheme="majorHAnsi"/>
                <w:sz w:val="16"/>
                <w:szCs w:val="16"/>
                <w:lang w:val="nl-NL"/>
              </w:rPr>
              <w:t>1</w:t>
            </w:r>
            <w:r w:rsidRPr="00E64AAC">
              <w:rPr>
                <w:rFonts w:asciiTheme="majorHAnsi" w:hAnsiTheme="majorHAnsi" w:cstheme="majorHAnsi"/>
                <w:sz w:val="16"/>
                <w:szCs w:val="16"/>
                <w:vertAlign w:val="superscript"/>
                <w:lang w:val="nl-NL"/>
              </w:rPr>
              <w:t>0</w:t>
            </w:r>
          </w:p>
          <w:p w14:paraId="0C826C4D" w14:textId="77777777" w:rsidR="001C3B5F" w:rsidRPr="00E64AAC" w:rsidRDefault="001C3B5F" w:rsidP="00C83092">
            <w:pPr>
              <w:spacing w:line="276" w:lineRule="auto"/>
              <w:rPr>
                <w:rFonts w:asciiTheme="majorHAnsi" w:hAnsiTheme="majorHAnsi" w:cstheme="majorHAnsi"/>
                <w:sz w:val="16"/>
                <w:szCs w:val="16"/>
                <w:lang w:val="nl-NL"/>
              </w:rPr>
            </w:pPr>
          </w:p>
        </w:tc>
        <w:tc>
          <w:tcPr>
            <w:tcW w:w="3350" w:type="dxa"/>
          </w:tcPr>
          <w:p w14:paraId="02818A03" w14:textId="77777777" w:rsidR="004A65AB" w:rsidRPr="00E64AAC" w:rsidRDefault="001C3B5F" w:rsidP="004A65AB">
            <w:pPr>
              <w:spacing w:line="276" w:lineRule="auto"/>
              <w:rPr>
                <w:rFonts w:asciiTheme="majorHAnsi" w:hAnsiTheme="majorHAnsi" w:cstheme="majorHAnsi"/>
                <w:sz w:val="16"/>
                <w:szCs w:val="16"/>
                <w:lang w:val="nl-NL"/>
              </w:rPr>
            </w:pPr>
            <w:r w:rsidRPr="00E64AAC">
              <w:rPr>
                <w:rFonts w:asciiTheme="majorHAnsi" w:hAnsiTheme="majorHAnsi" w:cstheme="majorHAnsi"/>
                <w:sz w:val="16"/>
                <w:szCs w:val="16"/>
                <w:lang w:val="nl-NL"/>
              </w:rPr>
              <w:t xml:space="preserve">Afstand tot </w:t>
            </w:r>
            <w:r w:rsidR="003D55B1" w:rsidRPr="00E64AAC">
              <w:rPr>
                <w:rFonts w:asciiTheme="majorHAnsi" w:hAnsiTheme="majorHAnsi" w:cstheme="majorHAnsi"/>
                <w:sz w:val="16"/>
                <w:szCs w:val="16"/>
                <w:lang w:val="nl-NL"/>
              </w:rPr>
              <w:t xml:space="preserve">de bij ministeriële regeling aangewezen </w:t>
            </w:r>
            <w:r w:rsidRPr="00E64AAC">
              <w:rPr>
                <w:rFonts w:asciiTheme="majorHAnsi" w:hAnsiTheme="majorHAnsi" w:cstheme="majorHAnsi"/>
                <w:sz w:val="16"/>
                <w:szCs w:val="16"/>
                <w:lang w:val="nl-NL"/>
              </w:rPr>
              <w:t xml:space="preserve">locaties waarvan </w:t>
            </w:r>
            <w:r w:rsidR="00E64AAC">
              <w:rPr>
                <w:rFonts w:asciiTheme="majorHAnsi" w:hAnsiTheme="majorHAnsi" w:cstheme="majorHAnsi"/>
                <w:sz w:val="16"/>
                <w:szCs w:val="16"/>
                <w:lang w:val="nl-NL"/>
              </w:rPr>
              <w:t>h</w:t>
            </w:r>
            <w:r w:rsidR="003D55B1" w:rsidRPr="00E64AAC">
              <w:rPr>
                <w:rFonts w:asciiTheme="majorHAnsi" w:hAnsiTheme="majorHAnsi" w:cstheme="majorHAnsi"/>
                <w:sz w:val="16"/>
                <w:szCs w:val="16"/>
                <w:lang w:val="nl-NL"/>
              </w:rPr>
              <w:t xml:space="preserve">et plaatsgebonden  risico </w:t>
            </w:r>
            <w:r w:rsidR="00E93F88">
              <w:rPr>
                <w:rFonts w:asciiTheme="majorHAnsi" w:hAnsiTheme="majorHAnsi" w:cstheme="majorHAnsi"/>
                <w:sz w:val="16"/>
                <w:szCs w:val="16"/>
                <w:lang w:val="nl-NL"/>
              </w:rPr>
              <w:t xml:space="preserve">≤ </w:t>
            </w:r>
            <w:r w:rsidR="003D55B1" w:rsidRPr="00E64AAC">
              <w:rPr>
                <w:rFonts w:asciiTheme="majorHAnsi" w:hAnsiTheme="majorHAnsi" w:cstheme="majorHAnsi"/>
                <w:sz w:val="16"/>
                <w:szCs w:val="16"/>
                <w:lang w:val="nl-NL"/>
              </w:rPr>
              <w:t>10-6/</w:t>
            </w:r>
            <w:proofErr w:type="spellStart"/>
            <w:r w:rsidR="003D55B1" w:rsidRPr="00E64AAC">
              <w:rPr>
                <w:rFonts w:asciiTheme="majorHAnsi" w:hAnsiTheme="majorHAnsi" w:cstheme="majorHAnsi"/>
                <w:sz w:val="16"/>
                <w:szCs w:val="16"/>
                <w:lang w:val="nl-NL"/>
              </w:rPr>
              <w:t>jr</w:t>
            </w:r>
            <w:proofErr w:type="spellEnd"/>
            <w:r w:rsidR="003D55B1" w:rsidRPr="00E64AAC">
              <w:rPr>
                <w:rFonts w:asciiTheme="majorHAnsi" w:hAnsiTheme="majorHAnsi" w:cstheme="majorHAnsi"/>
                <w:sz w:val="16"/>
                <w:szCs w:val="16"/>
                <w:lang w:val="nl-NL"/>
              </w:rPr>
              <w:t xml:space="preserve"> is </w:t>
            </w:r>
          </w:p>
        </w:tc>
        <w:tc>
          <w:tcPr>
            <w:tcW w:w="2681" w:type="dxa"/>
          </w:tcPr>
          <w:p w14:paraId="3E9845DE" w14:textId="77777777" w:rsidR="00E93F88" w:rsidRDefault="004F479E" w:rsidP="004A65AB">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Voor p</w:t>
            </w:r>
            <w:r w:rsidR="00E93F88">
              <w:rPr>
                <w:rFonts w:asciiTheme="majorHAnsi" w:hAnsiTheme="majorHAnsi" w:cstheme="majorHAnsi"/>
                <w:sz w:val="16"/>
                <w:szCs w:val="16"/>
                <w:lang w:val="nl-NL"/>
              </w:rPr>
              <w:t xml:space="preserve">er ministeriële regeling aangewezen locaties (wegen, spoorwegen, </w:t>
            </w:r>
            <w:proofErr w:type="spellStart"/>
            <w:r w:rsidR="00E93F88">
              <w:rPr>
                <w:rFonts w:asciiTheme="majorHAnsi" w:hAnsiTheme="majorHAnsi" w:cstheme="majorHAnsi"/>
                <w:sz w:val="16"/>
                <w:szCs w:val="16"/>
                <w:lang w:val="nl-NL"/>
              </w:rPr>
              <w:t>binnnenvaartwegen</w:t>
            </w:r>
            <w:proofErr w:type="spellEnd"/>
            <w:r w:rsidR="00E93F88">
              <w:rPr>
                <w:rFonts w:asciiTheme="majorHAnsi" w:hAnsiTheme="majorHAnsi" w:cstheme="majorHAnsi"/>
                <w:sz w:val="16"/>
                <w:szCs w:val="16"/>
                <w:lang w:val="nl-NL"/>
              </w:rPr>
              <w:t>)</w:t>
            </w:r>
            <w:r>
              <w:rPr>
                <w:rFonts w:asciiTheme="majorHAnsi" w:hAnsiTheme="majorHAnsi" w:cstheme="majorHAnsi"/>
                <w:sz w:val="16"/>
                <w:szCs w:val="16"/>
                <w:lang w:val="nl-NL"/>
              </w:rPr>
              <w:t>:</w:t>
            </w:r>
          </w:p>
          <w:p w14:paraId="72BD3901" w14:textId="77777777" w:rsidR="00E93F88" w:rsidRDefault="00E93F88" w:rsidP="004A65AB">
            <w:pPr>
              <w:spacing w:line="276" w:lineRule="auto"/>
              <w:rPr>
                <w:rFonts w:asciiTheme="majorHAnsi" w:hAnsiTheme="majorHAnsi" w:cstheme="majorHAnsi"/>
                <w:sz w:val="16"/>
                <w:szCs w:val="16"/>
                <w:lang w:val="nl-NL"/>
              </w:rPr>
            </w:pPr>
          </w:p>
          <w:p w14:paraId="6040C6A9" w14:textId="77777777" w:rsidR="004F479E" w:rsidRDefault="004F479E" w:rsidP="004F479E">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 </w:t>
            </w:r>
            <w:r w:rsidR="00A34296" w:rsidRPr="004F479E">
              <w:rPr>
                <w:rFonts w:asciiTheme="majorHAnsi" w:hAnsiTheme="majorHAnsi" w:cstheme="majorHAnsi"/>
                <w:sz w:val="16"/>
                <w:szCs w:val="16"/>
                <w:lang w:val="nl-NL"/>
              </w:rPr>
              <w:t>R</w:t>
            </w:r>
            <w:r w:rsidR="00E64AAC" w:rsidRPr="004F479E">
              <w:rPr>
                <w:rFonts w:asciiTheme="majorHAnsi" w:hAnsiTheme="majorHAnsi" w:cstheme="majorHAnsi"/>
                <w:sz w:val="16"/>
                <w:szCs w:val="16"/>
                <w:lang w:val="nl-NL"/>
              </w:rPr>
              <w:t>eferentiepoly</w:t>
            </w:r>
            <w:r w:rsidR="00B92C0C">
              <w:rPr>
                <w:rFonts w:asciiTheme="majorHAnsi" w:hAnsiTheme="majorHAnsi" w:cstheme="majorHAnsi"/>
                <w:sz w:val="16"/>
                <w:szCs w:val="16"/>
                <w:lang w:val="nl-NL"/>
              </w:rPr>
              <w:t>gonen</w:t>
            </w:r>
            <w:r w:rsidR="004A65AB" w:rsidRPr="004F479E">
              <w:rPr>
                <w:rFonts w:asciiTheme="majorHAnsi" w:hAnsiTheme="majorHAnsi" w:cstheme="majorHAnsi"/>
                <w:sz w:val="16"/>
                <w:szCs w:val="16"/>
                <w:lang w:val="nl-NL"/>
              </w:rPr>
              <w:t xml:space="preserve"> weerszijde </w:t>
            </w:r>
            <w:r>
              <w:rPr>
                <w:rFonts w:asciiTheme="majorHAnsi" w:hAnsiTheme="majorHAnsi" w:cstheme="majorHAnsi"/>
                <w:sz w:val="16"/>
                <w:szCs w:val="16"/>
                <w:lang w:val="nl-NL"/>
              </w:rPr>
              <w:t>van de locaties</w:t>
            </w:r>
            <w:r w:rsidR="00177174">
              <w:rPr>
                <w:rFonts w:asciiTheme="majorHAnsi" w:hAnsiTheme="majorHAnsi" w:cstheme="majorHAnsi"/>
                <w:sz w:val="16"/>
                <w:szCs w:val="16"/>
                <w:lang w:val="nl-NL"/>
              </w:rPr>
              <w:t xml:space="preserve"> </w:t>
            </w:r>
            <w:r w:rsidR="00177174" w:rsidRPr="00177174">
              <w:rPr>
                <w:rFonts w:asciiTheme="majorHAnsi" w:hAnsiTheme="majorHAnsi" w:cstheme="majorHAnsi"/>
                <w:i/>
                <w:color w:val="FF0000"/>
                <w:sz w:val="16"/>
                <w:szCs w:val="16"/>
                <w:lang w:val="nl-NL"/>
              </w:rPr>
              <w:t>(PM is dii nodig?)</w:t>
            </w:r>
          </w:p>
          <w:p w14:paraId="30121F6E" w14:textId="77777777" w:rsidR="001C3B5F" w:rsidRPr="00E64AAC" w:rsidRDefault="004F479E" w:rsidP="00B92C0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 </w:t>
            </w:r>
            <w:r w:rsidR="00177174">
              <w:rPr>
                <w:rFonts w:asciiTheme="majorHAnsi" w:hAnsiTheme="majorHAnsi" w:cstheme="majorHAnsi"/>
                <w:sz w:val="16"/>
                <w:szCs w:val="16"/>
                <w:lang w:val="nl-NL"/>
              </w:rPr>
              <w:t>Poly</w:t>
            </w:r>
            <w:r w:rsidR="00B92C0C">
              <w:rPr>
                <w:rFonts w:asciiTheme="majorHAnsi" w:hAnsiTheme="majorHAnsi" w:cstheme="majorHAnsi"/>
                <w:sz w:val="16"/>
                <w:szCs w:val="16"/>
                <w:lang w:val="nl-NL"/>
              </w:rPr>
              <w:t>gonen</w:t>
            </w:r>
            <w:r w:rsidR="00177174">
              <w:rPr>
                <w:rFonts w:asciiTheme="majorHAnsi" w:hAnsiTheme="majorHAnsi" w:cstheme="majorHAnsi"/>
                <w:sz w:val="16"/>
                <w:szCs w:val="16"/>
                <w:lang w:val="nl-NL"/>
              </w:rPr>
              <w:t xml:space="preserve"> waar </w:t>
            </w:r>
            <w:r>
              <w:rPr>
                <w:rFonts w:asciiTheme="majorHAnsi" w:hAnsiTheme="majorHAnsi" w:cstheme="majorHAnsi"/>
                <w:sz w:val="16"/>
                <w:szCs w:val="16"/>
                <w:lang w:val="nl-NL"/>
              </w:rPr>
              <w:t>het</w:t>
            </w:r>
            <w:r w:rsidR="00177174">
              <w:rPr>
                <w:rFonts w:asciiTheme="majorHAnsi" w:hAnsiTheme="majorHAnsi" w:cstheme="majorHAnsi"/>
                <w:sz w:val="16"/>
                <w:szCs w:val="16"/>
                <w:lang w:val="nl-NL"/>
              </w:rPr>
              <w:t xml:space="preserve"> plaatsgebonden risico 10-6/</w:t>
            </w:r>
            <w:proofErr w:type="spellStart"/>
            <w:r w:rsidR="00177174">
              <w:rPr>
                <w:rFonts w:asciiTheme="majorHAnsi" w:hAnsiTheme="majorHAnsi" w:cstheme="majorHAnsi"/>
                <w:sz w:val="16"/>
                <w:szCs w:val="16"/>
                <w:lang w:val="nl-NL"/>
              </w:rPr>
              <w:t>jr</w:t>
            </w:r>
            <w:proofErr w:type="spellEnd"/>
            <w:r w:rsidR="00177174">
              <w:rPr>
                <w:rFonts w:asciiTheme="majorHAnsi" w:hAnsiTheme="majorHAnsi" w:cstheme="majorHAnsi"/>
                <w:sz w:val="16"/>
                <w:szCs w:val="16"/>
                <w:lang w:val="nl-NL"/>
              </w:rPr>
              <w:t xml:space="preserve"> is (PR 10-6 contouren</w:t>
            </w:r>
          </w:p>
        </w:tc>
        <w:tc>
          <w:tcPr>
            <w:tcW w:w="2026" w:type="dxa"/>
          </w:tcPr>
          <w:p w14:paraId="424C973A" w14:textId="77777777" w:rsidR="001C3B5F" w:rsidRDefault="00A300E0" w:rsidP="004A65AB">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w:t>
            </w:r>
            <w:r w:rsidR="00E64AAC">
              <w:rPr>
                <w:rFonts w:asciiTheme="majorHAnsi" w:hAnsiTheme="majorHAnsi" w:cstheme="majorHAnsi"/>
                <w:sz w:val="16"/>
                <w:szCs w:val="16"/>
                <w:lang w:val="nl-NL"/>
              </w:rPr>
              <w:t>nader te bepalen</w:t>
            </w:r>
            <w:r>
              <w:rPr>
                <w:rFonts w:asciiTheme="majorHAnsi" w:hAnsiTheme="majorHAnsi" w:cstheme="majorHAnsi"/>
                <w:sz w:val="16"/>
                <w:szCs w:val="16"/>
                <w:lang w:val="nl-NL"/>
              </w:rPr>
              <w:t>)</w:t>
            </w:r>
            <w:r w:rsidR="00E64AAC">
              <w:rPr>
                <w:rFonts w:asciiTheme="majorHAnsi" w:hAnsiTheme="majorHAnsi" w:cstheme="majorHAnsi"/>
                <w:sz w:val="16"/>
                <w:szCs w:val="16"/>
                <w:lang w:val="nl-NL"/>
              </w:rPr>
              <w:t xml:space="preserve"> </w:t>
            </w:r>
            <w:r w:rsidR="004F479E">
              <w:rPr>
                <w:rFonts w:asciiTheme="majorHAnsi" w:hAnsiTheme="majorHAnsi" w:cstheme="majorHAnsi"/>
                <w:sz w:val="16"/>
                <w:szCs w:val="16"/>
                <w:lang w:val="nl-NL"/>
              </w:rPr>
              <w:t xml:space="preserve">ligging van </w:t>
            </w:r>
            <w:proofErr w:type="spellStart"/>
            <w:r w:rsidR="00E64AAC">
              <w:rPr>
                <w:rFonts w:asciiTheme="majorHAnsi" w:hAnsiTheme="majorHAnsi" w:cstheme="majorHAnsi"/>
                <w:sz w:val="16"/>
                <w:szCs w:val="16"/>
                <w:lang w:val="nl-NL"/>
              </w:rPr>
              <w:t>poly</w:t>
            </w:r>
            <w:r w:rsidR="00B92C0C">
              <w:rPr>
                <w:rFonts w:asciiTheme="majorHAnsi" w:hAnsiTheme="majorHAnsi" w:cstheme="majorHAnsi"/>
                <w:sz w:val="16"/>
                <w:szCs w:val="16"/>
                <w:lang w:val="nl-NL"/>
              </w:rPr>
              <w:t>gon</w:t>
            </w:r>
            <w:proofErr w:type="spellEnd"/>
            <w:r w:rsidR="00177174">
              <w:rPr>
                <w:rFonts w:asciiTheme="majorHAnsi" w:hAnsiTheme="majorHAnsi" w:cstheme="majorHAnsi"/>
                <w:sz w:val="16"/>
                <w:szCs w:val="16"/>
                <w:lang w:val="nl-NL"/>
              </w:rPr>
              <w:t xml:space="preserve">: </w:t>
            </w:r>
          </w:p>
          <w:p w14:paraId="0F5264DD" w14:textId="77777777" w:rsidR="00177174" w:rsidRDefault="00177174" w:rsidP="004A65AB">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referenties (links en rechts) en </w:t>
            </w:r>
          </w:p>
          <w:p w14:paraId="66F42F20" w14:textId="77777777" w:rsidR="00177174" w:rsidRPr="00E64AAC" w:rsidRDefault="00177174" w:rsidP="004A65AB">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per ministeriële regeling bepaalde PR10-6, links en rechts</w:t>
            </w:r>
            <w:r w:rsidR="00A300E0">
              <w:rPr>
                <w:rFonts w:asciiTheme="majorHAnsi" w:hAnsiTheme="majorHAnsi" w:cstheme="majorHAnsi"/>
                <w:sz w:val="16"/>
                <w:szCs w:val="16"/>
                <w:lang w:val="nl-NL"/>
              </w:rPr>
              <w:t xml:space="preserve"> van weg, spoorweg, binnenvaarweg</w:t>
            </w:r>
          </w:p>
        </w:tc>
      </w:tr>
      <w:tr w:rsidR="00177174" w:rsidRPr="00255753" w14:paraId="4A6DA06D" w14:textId="77777777" w:rsidTr="00A300E0">
        <w:trPr>
          <w:trHeight w:val="338"/>
        </w:trPr>
        <w:tc>
          <w:tcPr>
            <w:tcW w:w="582" w:type="dxa"/>
            <w:vMerge/>
          </w:tcPr>
          <w:p w14:paraId="3F45DE50" w14:textId="77777777" w:rsidR="001C3B5F" w:rsidRPr="00E64AAC" w:rsidRDefault="001C3B5F" w:rsidP="00C83092">
            <w:pPr>
              <w:spacing w:line="276" w:lineRule="auto"/>
              <w:rPr>
                <w:rFonts w:asciiTheme="majorHAnsi" w:hAnsiTheme="majorHAnsi" w:cstheme="majorHAnsi"/>
                <w:sz w:val="16"/>
                <w:szCs w:val="16"/>
                <w:lang w:val="nl-NL"/>
              </w:rPr>
            </w:pPr>
          </w:p>
        </w:tc>
        <w:tc>
          <w:tcPr>
            <w:tcW w:w="570" w:type="dxa"/>
            <w:vMerge w:val="restart"/>
          </w:tcPr>
          <w:p w14:paraId="766E79C0" w14:textId="77777777" w:rsidR="001C3B5F" w:rsidRPr="00E64AAC" w:rsidRDefault="001C3B5F" w:rsidP="00C83092">
            <w:pPr>
              <w:spacing w:line="276" w:lineRule="auto"/>
              <w:rPr>
                <w:rFonts w:asciiTheme="majorHAnsi" w:hAnsiTheme="majorHAnsi" w:cstheme="majorHAnsi"/>
                <w:sz w:val="16"/>
                <w:szCs w:val="16"/>
                <w:lang w:val="nl-NL"/>
              </w:rPr>
            </w:pPr>
            <w:r w:rsidRPr="00E64AAC">
              <w:rPr>
                <w:rFonts w:asciiTheme="majorHAnsi" w:hAnsiTheme="majorHAnsi" w:cstheme="majorHAnsi"/>
                <w:sz w:val="16"/>
                <w:szCs w:val="16"/>
                <w:lang w:val="nl-NL"/>
              </w:rPr>
              <w:t>2</w:t>
            </w:r>
            <w:r w:rsidRPr="00E64AAC">
              <w:rPr>
                <w:rFonts w:asciiTheme="majorHAnsi" w:hAnsiTheme="majorHAnsi" w:cstheme="majorHAnsi"/>
                <w:sz w:val="16"/>
                <w:szCs w:val="16"/>
                <w:vertAlign w:val="superscript"/>
                <w:lang w:val="nl-NL"/>
              </w:rPr>
              <w:t>0</w:t>
            </w:r>
          </w:p>
        </w:tc>
        <w:tc>
          <w:tcPr>
            <w:tcW w:w="3350" w:type="dxa"/>
          </w:tcPr>
          <w:p w14:paraId="0741C106" w14:textId="77777777" w:rsidR="001C3B5F" w:rsidRPr="00E64AAC" w:rsidRDefault="003D55B1" w:rsidP="004A65AB">
            <w:pPr>
              <w:spacing w:line="276" w:lineRule="auto"/>
              <w:rPr>
                <w:rFonts w:asciiTheme="majorHAnsi" w:hAnsiTheme="majorHAnsi" w:cstheme="majorHAnsi"/>
                <w:sz w:val="16"/>
                <w:szCs w:val="16"/>
                <w:lang w:val="nl-NL"/>
              </w:rPr>
            </w:pPr>
            <w:r w:rsidRPr="00E64AAC">
              <w:rPr>
                <w:rFonts w:asciiTheme="majorHAnsi" w:eastAsiaTheme="minorEastAsia" w:hAnsiTheme="majorHAnsi" w:cstheme="majorHAnsi"/>
                <w:sz w:val="16"/>
                <w:szCs w:val="16"/>
                <w:lang w:val="nl-NL" w:eastAsia="nl-NL"/>
              </w:rPr>
              <w:t xml:space="preserve">de afstand voor het </w:t>
            </w:r>
            <w:r w:rsidRPr="00E64AAC">
              <w:rPr>
                <w:rFonts w:asciiTheme="majorHAnsi" w:eastAsiaTheme="minorEastAsia" w:hAnsiTheme="majorHAnsi" w:cstheme="majorHAnsi"/>
                <w:color w:val="FF0000"/>
                <w:sz w:val="16"/>
                <w:szCs w:val="16"/>
                <w:lang w:val="nl-NL" w:eastAsia="nl-NL"/>
              </w:rPr>
              <w:t>brand</w:t>
            </w:r>
            <w:r w:rsidR="004A65AB">
              <w:rPr>
                <w:rFonts w:asciiTheme="majorHAnsi" w:eastAsiaTheme="minorEastAsia" w:hAnsiTheme="majorHAnsi" w:cstheme="majorHAnsi"/>
                <w:color w:val="FF0000"/>
                <w:sz w:val="16"/>
                <w:szCs w:val="16"/>
                <w:lang w:val="nl-NL" w:eastAsia="nl-NL"/>
              </w:rPr>
              <w:t>aandachtsgebied</w:t>
            </w:r>
            <w:r w:rsidRPr="00E64AAC">
              <w:rPr>
                <w:rFonts w:asciiTheme="majorHAnsi" w:eastAsiaTheme="minorEastAsia" w:hAnsiTheme="majorHAnsi" w:cstheme="majorHAnsi"/>
                <w:color w:val="FF0000"/>
                <w:sz w:val="16"/>
                <w:szCs w:val="16"/>
                <w:lang w:val="nl-NL" w:eastAsia="nl-NL"/>
              </w:rPr>
              <w:t xml:space="preserve">, bedoeld in bijlage VII, onder C, waarvan de geometrische begrenzing bij ministeriële regeling </w:t>
            </w:r>
            <w:r w:rsidRPr="00E64AAC">
              <w:rPr>
                <w:rFonts w:asciiTheme="majorHAnsi" w:eastAsiaTheme="minorEastAsia" w:hAnsiTheme="majorHAnsi" w:cstheme="majorHAnsi"/>
                <w:color w:val="000000"/>
                <w:sz w:val="16"/>
                <w:szCs w:val="16"/>
                <w:lang w:val="nl-NL" w:eastAsia="nl-NL"/>
              </w:rPr>
              <w:t>is vastgelegd</w:t>
            </w:r>
          </w:p>
        </w:tc>
        <w:tc>
          <w:tcPr>
            <w:tcW w:w="2681" w:type="dxa"/>
          </w:tcPr>
          <w:p w14:paraId="0096C9D7" w14:textId="77777777" w:rsidR="00177174" w:rsidRDefault="00177174" w:rsidP="00177174">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Voor per ministeriële regeling aangewezen locaties (wegen, spoorwegen, </w:t>
            </w:r>
            <w:proofErr w:type="spellStart"/>
            <w:r>
              <w:rPr>
                <w:rFonts w:asciiTheme="majorHAnsi" w:hAnsiTheme="majorHAnsi" w:cstheme="majorHAnsi"/>
                <w:sz w:val="16"/>
                <w:szCs w:val="16"/>
                <w:lang w:val="nl-NL"/>
              </w:rPr>
              <w:t>binnnenvaartwegen</w:t>
            </w:r>
            <w:proofErr w:type="spellEnd"/>
            <w:r>
              <w:rPr>
                <w:rFonts w:asciiTheme="majorHAnsi" w:hAnsiTheme="majorHAnsi" w:cstheme="majorHAnsi"/>
                <w:sz w:val="16"/>
                <w:szCs w:val="16"/>
                <w:lang w:val="nl-NL"/>
              </w:rPr>
              <w:t>):</w:t>
            </w:r>
          </w:p>
          <w:p w14:paraId="33C9FB99" w14:textId="77777777" w:rsidR="001C3B5F" w:rsidRPr="00E64AAC" w:rsidRDefault="00177174" w:rsidP="00177174">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P</w:t>
            </w:r>
            <w:r w:rsidR="00E64AAC">
              <w:rPr>
                <w:rFonts w:asciiTheme="majorHAnsi" w:hAnsiTheme="majorHAnsi" w:cstheme="majorHAnsi"/>
                <w:sz w:val="16"/>
                <w:szCs w:val="16"/>
                <w:lang w:val="nl-NL"/>
              </w:rPr>
              <w:t>olynomen</w:t>
            </w:r>
            <w:r>
              <w:rPr>
                <w:rFonts w:asciiTheme="majorHAnsi" w:hAnsiTheme="majorHAnsi" w:cstheme="majorHAnsi"/>
                <w:sz w:val="16"/>
                <w:szCs w:val="16"/>
                <w:lang w:val="nl-NL"/>
              </w:rPr>
              <w:t xml:space="preserve"> brandaandachtsgebied</w:t>
            </w:r>
          </w:p>
        </w:tc>
        <w:tc>
          <w:tcPr>
            <w:tcW w:w="2026" w:type="dxa"/>
          </w:tcPr>
          <w:p w14:paraId="66C5E2CA" w14:textId="77777777" w:rsidR="001C3B5F" w:rsidRDefault="00177174" w:rsidP="004F479E">
            <w:pPr>
              <w:spacing w:line="276" w:lineRule="auto"/>
              <w:rPr>
                <w:rFonts w:asciiTheme="majorHAnsi" w:hAnsiTheme="majorHAnsi" w:cstheme="majorHAnsi"/>
                <w:sz w:val="16"/>
                <w:szCs w:val="16"/>
                <w:lang w:val="nl-NL"/>
              </w:rPr>
            </w:pPr>
            <w:proofErr w:type="spellStart"/>
            <w:r>
              <w:rPr>
                <w:rFonts w:asciiTheme="majorHAnsi" w:hAnsiTheme="majorHAnsi" w:cstheme="majorHAnsi"/>
                <w:sz w:val="16"/>
                <w:szCs w:val="16"/>
                <w:lang w:val="nl-NL"/>
              </w:rPr>
              <w:t>P</w:t>
            </w:r>
            <w:r w:rsidR="00E93F88">
              <w:rPr>
                <w:rFonts w:asciiTheme="majorHAnsi" w:hAnsiTheme="majorHAnsi" w:cstheme="majorHAnsi"/>
                <w:sz w:val="16"/>
                <w:szCs w:val="16"/>
                <w:lang w:val="nl-NL"/>
              </w:rPr>
              <w:t>oly</w:t>
            </w:r>
            <w:r w:rsidR="00B92C0C">
              <w:rPr>
                <w:rFonts w:asciiTheme="majorHAnsi" w:hAnsiTheme="majorHAnsi" w:cstheme="majorHAnsi"/>
                <w:sz w:val="16"/>
                <w:szCs w:val="16"/>
                <w:lang w:val="nl-NL"/>
              </w:rPr>
              <w:t>gon</w:t>
            </w:r>
            <w:proofErr w:type="spellEnd"/>
            <w:r>
              <w:rPr>
                <w:rFonts w:asciiTheme="majorHAnsi" w:hAnsiTheme="majorHAnsi" w:cstheme="majorHAnsi"/>
                <w:sz w:val="16"/>
                <w:szCs w:val="16"/>
                <w:lang w:val="nl-NL"/>
              </w:rPr>
              <w:t xml:space="preserve"> brandaandachtsgebied (links en rechts op 30 m van referentiepoly</w:t>
            </w:r>
            <w:r w:rsidR="00B92C0C">
              <w:rPr>
                <w:rFonts w:asciiTheme="majorHAnsi" w:hAnsiTheme="majorHAnsi" w:cstheme="majorHAnsi"/>
                <w:sz w:val="16"/>
                <w:szCs w:val="16"/>
                <w:lang w:val="nl-NL"/>
              </w:rPr>
              <w:t>gon</w:t>
            </w:r>
            <w:r>
              <w:rPr>
                <w:rFonts w:asciiTheme="majorHAnsi" w:hAnsiTheme="majorHAnsi" w:cstheme="majorHAnsi"/>
                <w:sz w:val="16"/>
                <w:szCs w:val="16"/>
                <w:lang w:val="nl-NL"/>
              </w:rPr>
              <w:t>)</w:t>
            </w:r>
          </w:p>
          <w:p w14:paraId="509A4C4A" w14:textId="77777777" w:rsidR="00177174" w:rsidRPr="004A65AB" w:rsidRDefault="00177174" w:rsidP="004F479E">
            <w:pPr>
              <w:spacing w:line="276" w:lineRule="auto"/>
              <w:rPr>
                <w:rFonts w:asciiTheme="majorHAnsi" w:hAnsiTheme="majorHAnsi" w:cstheme="majorHAnsi"/>
                <w:sz w:val="16"/>
                <w:szCs w:val="16"/>
                <w:lang w:val="nl-NL"/>
              </w:rPr>
            </w:pPr>
          </w:p>
        </w:tc>
      </w:tr>
      <w:tr w:rsidR="00177174" w:rsidRPr="00255753" w14:paraId="3A814A24" w14:textId="77777777" w:rsidTr="00A300E0">
        <w:trPr>
          <w:trHeight w:val="337"/>
        </w:trPr>
        <w:tc>
          <w:tcPr>
            <w:tcW w:w="582" w:type="dxa"/>
            <w:vMerge/>
          </w:tcPr>
          <w:p w14:paraId="6AB064DD" w14:textId="77777777" w:rsidR="001C3B5F" w:rsidRPr="00E64AAC" w:rsidRDefault="001C3B5F" w:rsidP="00C83092">
            <w:pPr>
              <w:spacing w:line="276" w:lineRule="auto"/>
              <w:rPr>
                <w:rFonts w:asciiTheme="majorHAnsi" w:hAnsiTheme="majorHAnsi" w:cstheme="majorHAnsi"/>
                <w:sz w:val="16"/>
                <w:szCs w:val="16"/>
                <w:lang w:val="nl-NL"/>
              </w:rPr>
            </w:pPr>
          </w:p>
        </w:tc>
        <w:tc>
          <w:tcPr>
            <w:tcW w:w="570" w:type="dxa"/>
            <w:vMerge/>
          </w:tcPr>
          <w:p w14:paraId="0C1A6860" w14:textId="77777777" w:rsidR="001C3B5F" w:rsidRPr="00E64AAC" w:rsidRDefault="001C3B5F" w:rsidP="00C83092">
            <w:pPr>
              <w:spacing w:line="276" w:lineRule="auto"/>
              <w:rPr>
                <w:rFonts w:asciiTheme="majorHAnsi" w:hAnsiTheme="majorHAnsi" w:cstheme="majorHAnsi"/>
                <w:sz w:val="16"/>
                <w:szCs w:val="16"/>
                <w:lang w:val="nl-NL"/>
              </w:rPr>
            </w:pPr>
          </w:p>
        </w:tc>
        <w:tc>
          <w:tcPr>
            <w:tcW w:w="3350" w:type="dxa"/>
          </w:tcPr>
          <w:p w14:paraId="6C22E88A" w14:textId="77777777" w:rsidR="001C3B5F" w:rsidRPr="00E64AAC" w:rsidRDefault="004A65AB" w:rsidP="001C3B5F">
            <w:pPr>
              <w:spacing w:line="276" w:lineRule="auto"/>
              <w:rPr>
                <w:rFonts w:asciiTheme="majorHAnsi" w:hAnsiTheme="majorHAnsi" w:cstheme="majorHAnsi"/>
                <w:sz w:val="16"/>
                <w:szCs w:val="16"/>
                <w:lang w:val="nl-NL"/>
              </w:rPr>
            </w:pPr>
            <w:r w:rsidRPr="00E64AAC">
              <w:rPr>
                <w:rFonts w:asciiTheme="majorHAnsi" w:eastAsiaTheme="minorEastAsia" w:hAnsiTheme="majorHAnsi" w:cstheme="majorHAnsi"/>
                <w:sz w:val="16"/>
                <w:szCs w:val="16"/>
                <w:lang w:val="nl-NL" w:eastAsia="nl-NL"/>
              </w:rPr>
              <w:t xml:space="preserve">de afstand voor het </w:t>
            </w:r>
            <w:r w:rsidRPr="00E64AAC">
              <w:rPr>
                <w:rFonts w:asciiTheme="majorHAnsi" w:eastAsiaTheme="minorEastAsia" w:hAnsiTheme="majorHAnsi" w:cstheme="majorHAnsi"/>
                <w:color w:val="FF0000"/>
                <w:sz w:val="16"/>
                <w:szCs w:val="16"/>
                <w:lang w:val="nl-NL" w:eastAsia="nl-NL"/>
              </w:rPr>
              <w:t xml:space="preserve">explosieaandachtsgebied, bedoeld in bijlage VII, onder C, waarvan de geometrische begrenzing bij ministeriële regeling </w:t>
            </w:r>
            <w:r w:rsidRPr="00E64AAC">
              <w:rPr>
                <w:rFonts w:asciiTheme="majorHAnsi" w:eastAsiaTheme="minorEastAsia" w:hAnsiTheme="majorHAnsi" w:cstheme="majorHAnsi"/>
                <w:color w:val="000000"/>
                <w:sz w:val="16"/>
                <w:szCs w:val="16"/>
                <w:lang w:val="nl-NL" w:eastAsia="nl-NL"/>
              </w:rPr>
              <w:t>is vastgelegd</w:t>
            </w:r>
          </w:p>
        </w:tc>
        <w:tc>
          <w:tcPr>
            <w:tcW w:w="2681" w:type="dxa"/>
          </w:tcPr>
          <w:p w14:paraId="123FE2C8" w14:textId="77777777" w:rsidR="00177174" w:rsidRDefault="00177174" w:rsidP="00177174">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Voor per ministeriële regeling aangewezen locaties (wegen, spoorwegen, </w:t>
            </w:r>
            <w:proofErr w:type="spellStart"/>
            <w:r>
              <w:rPr>
                <w:rFonts w:asciiTheme="majorHAnsi" w:hAnsiTheme="majorHAnsi" w:cstheme="majorHAnsi"/>
                <w:sz w:val="16"/>
                <w:szCs w:val="16"/>
                <w:lang w:val="nl-NL"/>
              </w:rPr>
              <w:t>binnnenvaartwegen</w:t>
            </w:r>
            <w:proofErr w:type="spellEnd"/>
            <w:r>
              <w:rPr>
                <w:rFonts w:asciiTheme="majorHAnsi" w:hAnsiTheme="majorHAnsi" w:cstheme="majorHAnsi"/>
                <w:sz w:val="16"/>
                <w:szCs w:val="16"/>
                <w:lang w:val="nl-NL"/>
              </w:rPr>
              <w:t>):</w:t>
            </w:r>
          </w:p>
          <w:p w14:paraId="37EBD4D2" w14:textId="77777777" w:rsidR="001C3B5F" w:rsidRPr="00E64AAC" w:rsidRDefault="00177174" w:rsidP="00177174">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Polynomen explosieaandachtsgebied</w:t>
            </w:r>
          </w:p>
        </w:tc>
        <w:tc>
          <w:tcPr>
            <w:tcW w:w="2026" w:type="dxa"/>
          </w:tcPr>
          <w:p w14:paraId="6D503EAC" w14:textId="77777777" w:rsidR="001C3B5F" w:rsidRPr="00E64AAC" w:rsidRDefault="00B92C0C" w:rsidP="00B92C0C">
            <w:pPr>
              <w:spacing w:line="276" w:lineRule="auto"/>
              <w:rPr>
                <w:rFonts w:asciiTheme="majorHAnsi" w:hAnsiTheme="majorHAnsi" w:cstheme="majorHAnsi"/>
                <w:sz w:val="16"/>
                <w:szCs w:val="16"/>
                <w:lang w:val="nl-NL"/>
              </w:rPr>
            </w:pPr>
            <w:proofErr w:type="spellStart"/>
            <w:r>
              <w:rPr>
                <w:rFonts w:asciiTheme="majorHAnsi" w:hAnsiTheme="majorHAnsi" w:cstheme="majorHAnsi"/>
                <w:sz w:val="16"/>
                <w:szCs w:val="16"/>
                <w:lang w:val="nl-NL"/>
              </w:rPr>
              <w:t>Polyngon</w:t>
            </w:r>
            <w:proofErr w:type="spellEnd"/>
            <w:r>
              <w:rPr>
                <w:rFonts w:asciiTheme="majorHAnsi" w:hAnsiTheme="majorHAnsi" w:cstheme="majorHAnsi"/>
                <w:sz w:val="16"/>
                <w:szCs w:val="16"/>
                <w:lang w:val="nl-NL"/>
              </w:rPr>
              <w:t xml:space="preserve"> </w:t>
            </w:r>
            <w:r w:rsidR="00177174">
              <w:rPr>
                <w:rFonts w:asciiTheme="majorHAnsi" w:hAnsiTheme="majorHAnsi" w:cstheme="majorHAnsi"/>
                <w:sz w:val="16"/>
                <w:szCs w:val="16"/>
                <w:lang w:val="nl-NL"/>
              </w:rPr>
              <w:t xml:space="preserve">explosieaandachtsgebied (links en rechts op </w:t>
            </w:r>
            <w:r w:rsidR="00B426FC" w:rsidRPr="00B92C0C">
              <w:rPr>
                <w:rFonts w:asciiTheme="majorHAnsi" w:hAnsiTheme="majorHAnsi" w:cstheme="majorHAnsi"/>
                <w:sz w:val="16"/>
                <w:szCs w:val="16"/>
                <w:lang w:val="nl-NL"/>
              </w:rPr>
              <w:t xml:space="preserve">200 </w:t>
            </w:r>
            <w:r w:rsidR="00177174">
              <w:rPr>
                <w:rFonts w:asciiTheme="majorHAnsi" w:hAnsiTheme="majorHAnsi" w:cstheme="majorHAnsi"/>
                <w:sz w:val="16"/>
                <w:szCs w:val="16"/>
                <w:lang w:val="nl-NL"/>
              </w:rPr>
              <w:t>m van referentiepoly</w:t>
            </w:r>
            <w:r>
              <w:rPr>
                <w:rFonts w:asciiTheme="majorHAnsi" w:hAnsiTheme="majorHAnsi" w:cstheme="majorHAnsi"/>
                <w:sz w:val="16"/>
                <w:szCs w:val="16"/>
                <w:lang w:val="nl-NL"/>
              </w:rPr>
              <w:t>gonen</w:t>
            </w:r>
            <w:r w:rsidR="00177174">
              <w:rPr>
                <w:rFonts w:asciiTheme="majorHAnsi" w:hAnsiTheme="majorHAnsi" w:cstheme="majorHAnsi"/>
                <w:sz w:val="16"/>
                <w:szCs w:val="16"/>
                <w:lang w:val="nl-NL"/>
              </w:rPr>
              <w:t>)</w:t>
            </w:r>
          </w:p>
        </w:tc>
      </w:tr>
    </w:tbl>
    <w:p w14:paraId="0D061216" w14:textId="77777777" w:rsidR="00E6322E" w:rsidRPr="001C3B5F" w:rsidRDefault="00E6322E" w:rsidP="007849CC">
      <w:pPr>
        <w:spacing w:after="0" w:line="276" w:lineRule="auto"/>
        <w:rPr>
          <w:rFonts w:asciiTheme="majorHAnsi" w:hAnsiTheme="majorHAnsi" w:cstheme="majorHAnsi"/>
          <w:color w:val="FF0000"/>
          <w:szCs w:val="18"/>
          <w:lang w:val="nl-NL"/>
        </w:rPr>
      </w:pPr>
    </w:p>
    <w:p w14:paraId="3CF082A6" w14:textId="77777777" w:rsidR="001C3B5F" w:rsidRDefault="001C3B5F">
      <w:pPr>
        <w:rPr>
          <w:rFonts w:asciiTheme="majorHAnsi" w:eastAsiaTheme="majorEastAsia" w:hAnsiTheme="majorHAnsi" w:cstheme="majorBidi"/>
          <w:color w:val="2E74B5" w:themeColor="accent1" w:themeShade="BF"/>
          <w:sz w:val="26"/>
          <w:szCs w:val="26"/>
          <w:lang w:val="nl-NL"/>
        </w:rPr>
      </w:pPr>
    </w:p>
    <w:sectPr w:rsidR="001C3B5F" w:rsidSect="007849CC">
      <w:headerReference w:type="default" r:id="rId10"/>
      <w:footerReference w:type="default" r:id="rId11"/>
      <w:pgSz w:w="11906" w:h="16838" w:code="9"/>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8B15B" w14:textId="77777777" w:rsidR="00AC5B9B" w:rsidRDefault="00AC5B9B" w:rsidP="006842D3">
      <w:pPr>
        <w:spacing w:after="0" w:line="240" w:lineRule="auto"/>
      </w:pPr>
      <w:r>
        <w:separator/>
      </w:r>
    </w:p>
  </w:endnote>
  <w:endnote w:type="continuationSeparator" w:id="0">
    <w:p w14:paraId="52FDDA20" w14:textId="77777777" w:rsidR="00AC5B9B" w:rsidRDefault="00AC5B9B" w:rsidP="0068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ijksoverheidSans">
    <w:altName w:val="Corbel"/>
    <w:panose1 w:val="00000000000000000000"/>
    <w:charset w:val="00"/>
    <w:family w:val="swiss"/>
    <w:notTrueType/>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9180" w14:textId="77777777" w:rsidR="00B44C24" w:rsidRPr="00B44C24" w:rsidRDefault="00B44C24" w:rsidP="00B44C24">
    <w:pPr>
      <w:pStyle w:val="Footer"/>
      <w:jc w:val="center"/>
      <w:rPr>
        <w:sz w:val="14"/>
      </w:rPr>
    </w:pPr>
    <w:r>
      <w:rPr>
        <w:sz w:val="14"/>
      </w:rPr>
      <w:t xml:space="preserve">- </w:t>
    </w:r>
    <w:r w:rsidRPr="00B44C24">
      <w:rPr>
        <w:sz w:val="14"/>
      </w:rPr>
      <w:fldChar w:fldCharType="begin"/>
    </w:r>
    <w:r w:rsidRPr="00B44C24">
      <w:rPr>
        <w:sz w:val="14"/>
      </w:rPr>
      <w:instrText>PAGE   \* MERGEFORMAT</w:instrText>
    </w:r>
    <w:r w:rsidRPr="00B44C24">
      <w:rPr>
        <w:sz w:val="14"/>
      </w:rPr>
      <w:fldChar w:fldCharType="separate"/>
    </w:r>
    <w:r w:rsidR="0097234F" w:rsidRPr="0097234F">
      <w:rPr>
        <w:noProof/>
        <w:sz w:val="14"/>
        <w:lang w:val="nl-NL"/>
      </w:rPr>
      <w:t>2</w:t>
    </w:r>
    <w:r w:rsidRPr="00B44C24">
      <w:rPr>
        <w:sz w:val="14"/>
      </w:rPr>
      <w:fldChar w:fldCharType="end"/>
    </w: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E700A" w14:textId="77777777" w:rsidR="00AC5B9B" w:rsidRDefault="00AC5B9B" w:rsidP="006842D3">
      <w:pPr>
        <w:spacing w:after="0" w:line="240" w:lineRule="auto"/>
      </w:pPr>
      <w:r>
        <w:separator/>
      </w:r>
    </w:p>
  </w:footnote>
  <w:footnote w:type="continuationSeparator" w:id="0">
    <w:p w14:paraId="77DD02E7" w14:textId="77777777" w:rsidR="00AC5B9B" w:rsidRDefault="00AC5B9B" w:rsidP="00684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A0A70" w14:textId="77777777" w:rsidR="007849CC" w:rsidRPr="007849CC" w:rsidRDefault="007849CC" w:rsidP="007849CC">
    <w:pPr>
      <w:pStyle w:val="Heading1"/>
      <w:tabs>
        <w:tab w:val="right" w:pos="8931"/>
      </w:tabs>
      <w:spacing w:line="240" w:lineRule="auto"/>
      <w:rPr>
        <w:b/>
        <w:lang w:val="nl-NL"/>
      </w:rPr>
    </w:pPr>
    <w:r w:rsidRPr="007849CC">
      <w:rPr>
        <w:b/>
        <w:lang w:val="nl-NL"/>
      </w:rPr>
      <w:t>A</w:t>
    </w:r>
    <w:r w:rsidR="00304C9E">
      <w:rPr>
        <w:b/>
        <w:lang w:val="nl-NL"/>
      </w:rPr>
      <w:t>c</w:t>
    </w:r>
    <w:r w:rsidRPr="007849CC">
      <w:rPr>
        <w:b/>
        <w:lang w:val="nl-NL"/>
      </w:rPr>
      <w:t>tiviteit ‘</w:t>
    </w:r>
    <w:r w:rsidR="009A4436">
      <w:rPr>
        <w:b/>
        <w:lang w:val="nl-NL"/>
      </w:rPr>
      <w:t>Basisnet</w:t>
    </w:r>
    <w:r w:rsidRPr="007849CC">
      <w:rPr>
        <w:b/>
        <w:lang w:val="nl-NL"/>
      </w:rPr>
      <w:t>’</w:t>
    </w:r>
    <w:r w:rsidRPr="007849CC">
      <w:rPr>
        <w:b/>
        <w:lang w:val="nl-NL"/>
      </w:rPr>
      <w:tab/>
    </w:r>
    <w:r w:rsidR="009A4436">
      <w:rPr>
        <w:b/>
        <w:lang w:val="nl-NL"/>
      </w:rPr>
      <w:t>2</w:t>
    </w:r>
    <w:r w:rsidR="00B92C0C">
      <w:rPr>
        <w:b/>
        <w:lang w:val="nl-NL"/>
      </w:rPr>
      <w:t xml:space="preserve">8 oktober </w:t>
    </w:r>
    <w:r w:rsidRPr="007849CC">
      <w:rPr>
        <w:b/>
        <w:lang w:val="nl-NL"/>
      </w:rPr>
      <w:t>2019</w:t>
    </w:r>
  </w:p>
  <w:p w14:paraId="15BF4787" w14:textId="77777777" w:rsidR="007849CC" w:rsidRPr="007849CC" w:rsidRDefault="007849CC" w:rsidP="007849CC">
    <w:pPr>
      <w:pBdr>
        <w:bottom w:val="single" w:sz="6" w:space="1" w:color="auto"/>
      </w:pBdr>
      <w:spacing w:line="240" w:lineRule="auto"/>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C49BB"/>
    <w:multiLevelType w:val="hybridMultilevel"/>
    <w:tmpl w:val="D1846BAC"/>
    <w:lvl w:ilvl="0" w:tplc="6878598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663CF8"/>
    <w:multiLevelType w:val="hybridMultilevel"/>
    <w:tmpl w:val="6EF8AF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3E53471"/>
    <w:multiLevelType w:val="hybridMultilevel"/>
    <w:tmpl w:val="35960D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94F41B2"/>
    <w:multiLevelType w:val="hybridMultilevel"/>
    <w:tmpl w:val="07AA6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B5B4713"/>
    <w:multiLevelType w:val="hybridMultilevel"/>
    <w:tmpl w:val="DF52CA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2A"/>
    <w:rsid w:val="0000283A"/>
    <w:rsid w:val="00095F42"/>
    <w:rsid w:val="000D0485"/>
    <w:rsid w:val="00133859"/>
    <w:rsid w:val="00162454"/>
    <w:rsid w:val="00177174"/>
    <w:rsid w:val="001C3B5F"/>
    <w:rsid w:val="001D53BE"/>
    <w:rsid w:val="001F40E5"/>
    <w:rsid w:val="001F6245"/>
    <w:rsid w:val="00224CAF"/>
    <w:rsid w:val="00240056"/>
    <w:rsid w:val="00245A62"/>
    <w:rsid w:val="00255753"/>
    <w:rsid w:val="002679A9"/>
    <w:rsid w:val="00275DD0"/>
    <w:rsid w:val="002C4A2A"/>
    <w:rsid w:val="00304C9E"/>
    <w:rsid w:val="0031237E"/>
    <w:rsid w:val="00324500"/>
    <w:rsid w:val="00390205"/>
    <w:rsid w:val="003C729B"/>
    <w:rsid w:val="003D55B1"/>
    <w:rsid w:val="004814E4"/>
    <w:rsid w:val="004A65AB"/>
    <w:rsid w:val="004A695A"/>
    <w:rsid w:val="004D00AA"/>
    <w:rsid w:val="004D703B"/>
    <w:rsid w:val="004E66D3"/>
    <w:rsid w:val="004F479E"/>
    <w:rsid w:val="0050373E"/>
    <w:rsid w:val="00510B7F"/>
    <w:rsid w:val="00513448"/>
    <w:rsid w:val="00530988"/>
    <w:rsid w:val="00542A92"/>
    <w:rsid w:val="00554093"/>
    <w:rsid w:val="00567024"/>
    <w:rsid w:val="0057236A"/>
    <w:rsid w:val="005877CF"/>
    <w:rsid w:val="005A5E38"/>
    <w:rsid w:val="005D226F"/>
    <w:rsid w:val="00600BA1"/>
    <w:rsid w:val="006226A1"/>
    <w:rsid w:val="006842D3"/>
    <w:rsid w:val="00755F26"/>
    <w:rsid w:val="007849CC"/>
    <w:rsid w:val="007E139C"/>
    <w:rsid w:val="007E4EA3"/>
    <w:rsid w:val="007E6D47"/>
    <w:rsid w:val="00810217"/>
    <w:rsid w:val="00860BF8"/>
    <w:rsid w:val="008D66B2"/>
    <w:rsid w:val="009211D3"/>
    <w:rsid w:val="009504D1"/>
    <w:rsid w:val="0097234F"/>
    <w:rsid w:val="009A4436"/>
    <w:rsid w:val="009E6710"/>
    <w:rsid w:val="00A300E0"/>
    <w:rsid w:val="00A34296"/>
    <w:rsid w:val="00A6624A"/>
    <w:rsid w:val="00A734A9"/>
    <w:rsid w:val="00A77034"/>
    <w:rsid w:val="00AC5B9B"/>
    <w:rsid w:val="00AD30AC"/>
    <w:rsid w:val="00AF62BE"/>
    <w:rsid w:val="00B06701"/>
    <w:rsid w:val="00B426FC"/>
    <w:rsid w:val="00B44C24"/>
    <w:rsid w:val="00B723B2"/>
    <w:rsid w:val="00B92C0C"/>
    <w:rsid w:val="00BC0B37"/>
    <w:rsid w:val="00BD799C"/>
    <w:rsid w:val="00BE5405"/>
    <w:rsid w:val="00C12023"/>
    <w:rsid w:val="00C63B30"/>
    <w:rsid w:val="00C83092"/>
    <w:rsid w:val="00CE4DD6"/>
    <w:rsid w:val="00D21CDE"/>
    <w:rsid w:val="00D8157E"/>
    <w:rsid w:val="00DE2D7C"/>
    <w:rsid w:val="00DF4315"/>
    <w:rsid w:val="00E6322E"/>
    <w:rsid w:val="00E64AAC"/>
    <w:rsid w:val="00E93F88"/>
    <w:rsid w:val="00EE6C8C"/>
    <w:rsid w:val="00EF6A6D"/>
    <w:rsid w:val="00F6312B"/>
    <w:rsid w:val="00F650B5"/>
    <w:rsid w:val="00F6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8F6F9C"/>
  <w15:chartTrackingRefBased/>
  <w15:docId w15:val="{9D69E1A6-E50A-4ECF-8087-D511AB90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3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C4A2A"/>
    <w:pPr>
      <w:ind w:left="720"/>
      <w:contextualSpacing/>
    </w:pPr>
  </w:style>
  <w:style w:type="table" w:styleId="TableGrid">
    <w:name w:val="Table Grid"/>
    <w:basedOn w:val="TableNormal"/>
    <w:uiPriority w:val="39"/>
    <w:rsid w:val="0068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42D3"/>
    <w:pPr>
      <w:spacing w:after="0" w:line="240" w:lineRule="auto"/>
    </w:pPr>
    <w:rPr>
      <w:rFonts w:ascii="RijksoverheidSans" w:hAnsi="RijksoverheidSans"/>
      <w:sz w:val="20"/>
      <w:szCs w:val="20"/>
      <w:lang w:val="nl-NL"/>
    </w:rPr>
  </w:style>
  <w:style w:type="character" w:customStyle="1" w:styleId="FootnoteTextChar">
    <w:name w:val="Footnote Text Char"/>
    <w:basedOn w:val="DefaultParagraphFont"/>
    <w:link w:val="FootnoteText"/>
    <w:uiPriority w:val="99"/>
    <w:semiHidden/>
    <w:rsid w:val="006842D3"/>
    <w:rPr>
      <w:rFonts w:ascii="RijksoverheidSans" w:hAnsi="RijksoverheidSans"/>
      <w:sz w:val="20"/>
      <w:szCs w:val="20"/>
      <w:lang w:val="nl-NL"/>
    </w:rPr>
  </w:style>
  <w:style w:type="character" w:styleId="FootnoteReference">
    <w:name w:val="footnote reference"/>
    <w:basedOn w:val="DefaultParagraphFont"/>
    <w:uiPriority w:val="99"/>
    <w:semiHidden/>
    <w:unhideWhenUsed/>
    <w:rsid w:val="006842D3"/>
    <w:rPr>
      <w:vertAlign w:val="superscript"/>
    </w:rPr>
  </w:style>
  <w:style w:type="character" w:customStyle="1" w:styleId="Heading1Char">
    <w:name w:val="Heading 1 Char"/>
    <w:basedOn w:val="DefaultParagraphFont"/>
    <w:link w:val="Heading1"/>
    <w:uiPriority w:val="9"/>
    <w:rsid w:val="00E632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322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C729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C729B"/>
    <w:rPr>
      <w:rFonts w:ascii="Segoe UI" w:hAnsi="Segoe UI" w:cs="Segoe UI"/>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rsid w:val="003C729B"/>
  </w:style>
  <w:style w:type="paragraph" w:styleId="Header">
    <w:name w:val="header"/>
    <w:basedOn w:val="Normal"/>
    <w:link w:val="HeaderChar"/>
    <w:uiPriority w:val="99"/>
    <w:unhideWhenUsed/>
    <w:rsid w:val="007849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49CC"/>
  </w:style>
  <w:style w:type="paragraph" w:styleId="Footer">
    <w:name w:val="footer"/>
    <w:basedOn w:val="Normal"/>
    <w:link w:val="FooterChar"/>
    <w:uiPriority w:val="99"/>
    <w:unhideWhenUsed/>
    <w:rsid w:val="007849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49CC"/>
  </w:style>
  <w:style w:type="paragraph" w:customStyle="1" w:styleId="Default">
    <w:name w:val="Default"/>
    <w:rsid w:val="00C63B30"/>
    <w:pPr>
      <w:autoSpaceDE w:val="0"/>
      <w:autoSpaceDN w:val="0"/>
      <w:adjustRightInd w:val="0"/>
      <w:spacing w:after="0" w:line="240" w:lineRule="auto"/>
    </w:pPr>
    <w:rPr>
      <w:rFonts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C6E413A74F40A73AAB279D9B82BB" ma:contentTypeVersion="7" ma:contentTypeDescription="Een nieuw document maken." ma:contentTypeScope="" ma:versionID="50b808e99ad72038d0ac5011e9298c6f">
  <xsd:schema xmlns:xsd="http://www.w3.org/2001/XMLSchema" xmlns:xs="http://www.w3.org/2001/XMLSchema" xmlns:p="http://schemas.microsoft.com/office/2006/metadata/properties" xmlns:ns2="4074f2ea-de07-49e5-807e-e7401fd52671" targetNamespace="http://schemas.microsoft.com/office/2006/metadata/properties" ma:root="true" ma:fieldsID="66ad55753357ead7947ad8843b7b68f6" ns2:_="">
    <xsd:import namespace="4074f2ea-de07-49e5-807e-e7401fd526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4f2ea-de07-49e5-807e-e7401fd52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43BA3-9E3D-480D-BB3C-6289281DBC45}">
  <ds:schemaRefs>
    <ds:schemaRef ds:uri="http://schemas.microsoft.com/office/2006/documentManagement/types"/>
    <ds:schemaRef ds:uri="http://schemas.microsoft.com/office/2006/metadata/properties"/>
    <ds:schemaRef ds:uri="http://purl.org/dc/elements/1.1/"/>
    <ds:schemaRef ds:uri="4074f2ea-de07-49e5-807e-e7401fd52671"/>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23094A7-CF5D-4E92-8059-EC515F7CCDE8}">
  <ds:schemaRefs>
    <ds:schemaRef ds:uri="http://schemas.microsoft.com/sharepoint/v3/contenttype/forms"/>
  </ds:schemaRefs>
</ds:datastoreItem>
</file>

<file path=customXml/itemProps3.xml><?xml version="1.0" encoding="utf-8"?>
<ds:datastoreItem xmlns:ds="http://schemas.openxmlformats.org/officeDocument/2006/customXml" ds:itemID="{ADC1FB91-6A0D-4D79-A48B-140B6CB7E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4f2ea-de07-49e5-807e-e7401fd52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F643D07B</Template>
  <TotalTime>2</TotalTime>
  <Pages>2</Pages>
  <Words>623</Words>
  <Characters>3430</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Rijksoverheid</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Dobbelsteen, A.J.H.M. (Rianne) - DGMI</dc:creator>
  <cp:keywords/>
  <dc:description/>
  <cp:lastModifiedBy>Channah Betgen</cp:lastModifiedBy>
  <cp:revision>2</cp:revision>
  <cp:lastPrinted>2019-06-13T08:06:00Z</cp:lastPrinted>
  <dcterms:created xsi:type="dcterms:W3CDTF">2019-11-15T08:13:00Z</dcterms:created>
  <dcterms:modified xsi:type="dcterms:W3CDTF">2019-11-15T08:13:00Z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0x0101000BF1C6E413A74F40A73AAB279D9B82BB</vt:lpwstr>
  </property>
</Properties>
</file>