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B2018" w14:textId="77777777" w:rsidR="006842D3" w:rsidRPr="007E6D47" w:rsidRDefault="009E6710" w:rsidP="007849CC">
      <w:pPr>
        <w:pStyle w:val="Heading2"/>
        <w:spacing w:line="276" w:lineRule="auto"/>
        <w:rPr>
          <w:lang w:val="nl-NL"/>
        </w:rPr>
      </w:pPr>
      <w:bookmarkStart w:id="0" w:name="_GoBack"/>
      <w:bookmarkEnd w:id="0"/>
      <w:r>
        <w:rPr>
          <w:lang w:val="nl-NL"/>
        </w:rPr>
        <w:t>Startdocument voor de a</w:t>
      </w:r>
      <w:r w:rsidR="006842D3" w:rsidRPr="007E6D47">
        <w:rPr>
          <w:lang w:val="nl-NL"/>
        </w:rPr>
        <w:t xml:space="preserve">ctiviteit </w:t>
      </w:r>
      <w:r>
        <w:rPr>
          <w:lang w:val="nl-NL"/>
        </w:rPr>
        <w:t>‘</w:t>
      </w:r>
      <w:r w:rsidR="00A0724C">
        <w:rPr>
          <w:lang w:val="nl-NL"/>
        </w:rPr>
        <w:t>Explosieaandachtsgebieden vuurwerk</w:t>
      </w:r>
      <w:r>
        <w:rPr>
          <w:lang w:val="nl-NL"/>
        </w:rPr>
        <w:t xml:space="preserve">’ </w:t>
      </w:r>
    </w:p>
    <w:p w14:paraId="674B1421" w14:textId="77777777" w:rsidR="006842D3" w:rsidRPr="007E6D47" w:rsidRDefault="006842D3" w:rsidP="007849CC">
      <w:pPr>
        <w:spacing w:after="0" w:line="276" w:lineRule="auto"/>
        <w:rPr>
          <w:rFonts w:asciiTheme="majorHAnsi" w:hAnsiTheme="majorHAnsi" w:cstheme="majorHAnsi"/>
          <w:b/>
          <w:szCs w:val="18"/>
        </w:rPr>
      </w:pPr>
    </w:p>
    <w:p w14:paraId="465026E8" w14:textId="77777777" w:rsidR="006842D3" w:rsidRPr="0043498C" w:rsidRDefault="006842D3" w:rsidP="007849CC">
      <w:pPr>
        <w:autoSpaceDE w:val="0"/>
        <w:autoSpaceDN w:val="0"/>
        <w:adjustRightInd w:val="0"/>
        <w:spacing w:after="0" w:line="276" w:lineRule="auto"/>
        <w:rPr>
          <w:rFonts w:asciiTheme="majorHAnsi" w:hAnsiTheme="majorHAnsi" w:cstheme="majorHAnsi"/>
          <w:sz w:val="18"/>
          <w:szCs w:val="18"/>
        </w:rPr>
      </w:pPr>
      <w:r w:rsidRPr="0043498C">
        <w:rPr>
          <w:rFonts w:asciiTheme="majorHAnsi" w:hAnsiTheme="majorHAnsi" w:cstheme="majorHAnsi"/>
          <w:sz w:val="18"/>
          <w:szCs w:val="18"/>
        </w:rPr>
        <w:t xml:space="preserve">Hieronder is de voor het REV van belang zijnde regelgeving </w:t>
      </w:r>
      <w:proofErr w:type="spellStart"/>
      <w:r w:rsidRPr="0043498C">
        <w:rPr>
          <w:rFonts w:asciiTheme="majorHAnsi" w:hAnsiTheme="majorHAnsi" w:cstheme="majorHAnsi"/>
          <w:sz w:val="18"/>
          <w:szCs w:val="18"/>
        </w:rPr>
        <w:t>mbt</w:t>
      </w:r>
      <w:proofErr w:type="spellEnd"/>
      <w:r w:rsidRPr="0043498C">
        <w:rPr>
          <w:rFonts w:asciiTheme="majorHAnsi" w:hAnsiTheme="majorHAnsi" w:cstheme="majorHAnsi"/>
          <w:sz w:val="18"/>
          <w:szCs w:val="18"/>
        </w:rPr>
        <w:t xml:space="preserve"> de </w:t>
      </w:r>
      <w:r w:rsidR="00035962">
        <w:rPr>
          <w:rFonts w:asciiTheme="majorHAnsi" w:hAnsiTheme="majorHAnsi" w:cstheme="majorHAnsi"/>
          <w:sz w:val="18"/>
          <w:szCs w:val="18"/>
        </w:rPr>
        <w:t>explosieaandachtsgebieden vuurwerk</w:t>
      </w:r>
      <w:r w:rsidR="00CA2D7B" w:rsidRPr="0043498C">
        <w:rPr>
          <w:rFonts w:asciiTheme="majorHAnsi" w:hAnsiTheme="majorHAnsi" w:cstheme="majorHAnsi"/>
          <w:sz w:val="18"/>
          <w:szCs w:val="18"/>
        </w:rPr>
        <w:t xml:space="preserve"> </w:t>
      </w:r>
      <w:r w:rsidRPr="0043498C">
        <w:rPr>
          <w:rFonts w:asciiTheme="majorHAnsi" w:hAnsiTheme="majorHAnsi" w:cstheme="majorHAnsi"/>
          <w:sz w:val="18"/>
          <w:szCs w:val="18"/>
        </w:rPr>
        <w:t xml:space="preserve">opgenomen die in het </w:t>
      </w:r>
      <w:proofErr w:type="spellStart"/>
      <w:r w:rsidRPr="0043498C">
        <w:rPr>
          <w:rFonts w:asciiTheme="majorHAnsi" w:hAnsiTheme="majorHAnsi" w:cstheme="majorHAnsi"/>
          <w:sz w:val="18"/>
          <w:szCs w:val="18"/>
        </w:rPr>
        <w:t>Bkl</w:t>
      </w:r>
      <w:proofErr w:type="spellEnd"/>
      <w:r w:rsidRPr="0043498C">
        <w:rPr>
          <w:rFonts w:asciiTheme="majorHAnsi" w:hAnsiTheme="majorHAnsi" w:cstheme="majorHAnsi"/>
          <w:sz w:val="18"/>
          <w:szCs w:val="18"/>
        </w:rPr>
        <w:t xml:space="preserve"> en het Bal staat. Dit is niet volledig, bijvoorbeeld moet nog worden opgenomen (in de Omgevingsregeling) op welke wijze de informatie door de bevoegde gezagen aangeleverd moet worden. In rood de relevante passages, waaruit, in de tabellen 1 en 2 de inhoudelijke kant van de “uitvraag” is samengevat. We zullen nog nader moeten bezien hoe we de informatie precies gepresenteerd willen hebben (op een kaart is voor de </w:t>
      </w:r>
      <w:proofErr w:type="spellStart"/>
      <w:r w:rsidRPr="0043498C">
        <w:rPr>
          <w:rFonts w:asciiTheme="majorHAnsi" w:hAnsiTheme="majorHAnsi" w:cstheme="majorHAnsi"/>
          <w:sz w:val="18"/>
          <w:szCs w:val="18"/>
        </w:rPr>
        <w:t>handliggend</w:t>
      </w:r>
      <w:proofErr w:type="spellEnd"/>
      <w:r w:rsidRPr="0043498C">
        <w:rPr>
          <w:rFonts w:asciiTheme="majorHAnsi" w:hAnsiTheme="majorHAnsi" w:cstheme="majorHAnsi"/>
          <w:sz w:val="18"/>
          <w:szCs w:val="18"/>
        </w:rPr>
        <w:t xml:space="preserve">), maar mogelijk is dit niet precies genoeg voor de juridische betekenis van de gebieden.  </w:t>
      </w:r>
    </w:p>
    <w:p w14:paraId="0BF161DC" w14:textId="77777777" w:rsidR="007849CC" w:rsidRPr="0043498C" w:rsidRDefault="007849CC" w:rsidP="007849CC">
      <w:pPr>
        <w:autoSpaceDE w:val="0"/>
        <w:autoSpaceDN w:val="0"/>
        <w:adjustRightInd w:val="0"/>
        <w:spacing w:after="0" w:line="276" w:lineRule="auto"/>
        <w:rPr>
          <w:rFonts w:asciiTheme="majorHAnsi" w:hAnsiTheme="majorHAnsi" w:cstheme="majorHAnsi"/>
          <w:sz w:val="18"/>
          <w:szCs w:val="18"/>
        </w:rPr>
      </w:pPr>
    </w:p>
    <w:p w14:paraId="4643E4A7" w14:textId="77777777" w:rsidR="006842D3" w:rsidRPr="0043498C" w:rsidRDefault="00E6322E" w:rsidP="007849CC">
      <w:pPr>
        <w:pStyle w:val="Heading2"/>
        <w:spacing w:line="276" w:lineRule="auto"/>
        <w:rPr>
          <w:rFonts w:eastAsiaTheme="minorEastAsia"/>
          <w:sz w:val="18"/>
          <w:szCs w:val="18"/>
          <w:lang w:val="nl-NL" w:eastAsia="nl-NL"/>
        </w:rPr>
      </w:pPr>
      <w:r w:rsidRPr="0043498C">
        <w:rPr>
          <w:rFonts w:eastAsiaTheme="minorEastAsia"/>
          <w:sz w:val="18"/>
          <w:szCs w:val="18"/>
          <w:lang w:val="nl-NL" w:eastAsia="nl-NL"/>
        </w:rPr>
        <w:t xml:space="preserve">Gegevensverzameling </w:t>
      </w:r>
      <w:r w:rsidR="006842D3" w:rsidRPr="0043498C">
        <w:rPr>
          <w:rFonts w:eastAsiaTheme="minorEastAsia"/>
          <w:sz w:val="18"/>
          <w:szCs w:val="18"/>
          <w:lang w:val="nl-NL" w:eastAsia="nl-NL"/>
        </w:rPr>
        <w:t>BKL</w:t>
      </w:r>
      <w:r w:rsidR="009E6710" w:rsidRPr="0043498C">
        <w:rPr>
          <w:rFonts w:eastAsiaTheme="minorEastAsia"/>
          <w:sz w:val="18"/>
          <w:szCs w:val="18"/>
          <w:lang w:val="nl-NL" w:eastAsia="nl-NL"/>
        </w:rPr>
        <w:t xml:space="preserve"> voor ‘</w:t>
      </w:r>
      <w:r w:rsidR="00A0724C" w:rsidRPr="0043498C">
        <w:rPr>
          <w:sz w:val="18"/>
          <w:szCs w:val="18"/>
          <w:lang w:val="nl-NL"/>
        </w:rPr>
        <w:t>Explosieaandachtsgebied vuurwerk</w:t>
      </w:r>
      <w:r w:rsidR="009E6710" w:rsidRPr="0043498C">
        <w:rPr>
          <w:rFonts w:eastAsiaTheme="minorEastAsia"/>
          <w:sz w:val="18"/>
          <w:szCs w:val="18"/>
          <w:lang w:val="nl-NL" w:eastAsia="nl-NL"/>
        </w:rPr>
        <w:t>’</w:t>
      </w:r>
      <w:r w:rsidR="0069656B" w:rsidRPr="0043498C">
        <w:rPr>
          <w:rFonts w:eastAsiaTheme="minorEastAsia"/>
          <w:sz w:val="18"/>
          <w:szCs w:val="18"/>
          <w:lang w:val="nl-NL" w:eastAsia="nl-NL"/>
        </w:rPr>
        <w:t xml:space="preserve"> </w:t>
      </w:r>
    </w:p>
    <w:p w14:paraId="35A7A932" w14:textId="77777777" w:rsidR="00173D44" w:rsidRPr="0043498C" w:rsidRDefault="00173D44" w:rsidP="007849CC">
      <w:pPr>
        <w:autoSpaceDE w:val="0"/>
        <w:autoSpaceDN w:val="0"/>
        <w:adjustRightInd w:val="0"/>
        <w:spacing w:after="0" w:line="276" w:lineRule="auto"/>
        <w:rPr>
          <w:rFonts w:cstheme="minorHAnsi"/>
          <w:b/>
          <w:sz w:val="18"/>
          <w:szCs w:val="18"/>
        </w:rPr>
      </w:pPr>
      <w:r w:rsidRPr="0043498C">
        <w:rPr>
          <w:rFonts w:cstheme="minorHAnsi"/>
          <w:b/>
          <w:sz w:val="18"/>
          <w:szCs w:val="18"/>
        </w:rPr>
        <w:t>Algemene punten</w:t>
      </w:r>
    </w:p>
    <w:p w14:paraId="7C12A46C" w14:textId="77777777" w:rsidR="00035962" w:rsidRDefault="00D91DBF" w:rsidP="00035962">
      <w:pPr>
        <w:autoSpaceDE w:val="0"/>
        <w:autoSpaceDN w:val="0"/>
        <w:adjustRightInd w:val="0"/>
        <w:spacing w:after="0" w:line="276" w:lineRule="auto"/>
        <w:rPr>
          <w:rFonts w:cstheme="minorHAnsi"/>
          <w:bCs/>
          <w:color w:val="FF0000"/>
          <w:sz w:val="18"/>
          <w:szCs w:val="18"/>
        </w:rPr>
      </w:pPr>
      <w:r w:rsidRPr="0043498C">
        <w:rPr>
          <w:rFonts w:cstheme="minorHAnsi"/>
          <w:sz w:val="18"/>
          <w:szCs w:val="18"/>
        </w:rPr>
        <w:t xml:space="preserve">Een explosieaandachtsgebied vuurwerk </w:t>
      </w:r>
      <w:r w:rsidR="002F6015" w:rsidRPr="0043498C">
        <w:rPr>
          <w:rFonts w:cstheme="minorHAnsi"/>
          <w:sz w:val="18"/>
          <w:szCs w:val="18"/>
        </w:rPr>
        <w:t xml:space="preserve">(hier even kortheidshalve EAV) </w:t>
      </w:r>
      <w:r w:rsidRPr="0043498C">
        <w:rPr>
          <w:rFonts w:cstheme="minorHAnsi"/>
          <w:sz w:val="18"/>
          <w:szCs w:val="18"/>
        </w:rPr>
        <w:t xml:space="preserve">heeft een heel andere (ruimtelijke) betekenis dan de  aandachtsgebieden onder  bijlage VII van het </w:t>
      </w:r>
      <w:proofErr w:type="spellStart"/>
      <w:r w:rsidRPr="0043498C">
        <w:rPr>
          <w:rFonts w:cstheme="minorHAnsi"/>
          <w:sz w:val="18"/>
          <w:szCs w:val="18"/>
        </w:rPr>
        <w:t>Bkl</w:t>
      </w:r>
      <w:proofErr w:type="spellEnd"/>
      <w:r w:rsidRPr="0043498C">
        <w:rPr>
          <w:rFonts w:cstheme="minorHAnsi"/>
          <w:sz w:val="18"/>
          <w:szCs w:val="18"/>
        </w:rPr>
        <w:t xml:space="preserve">. </w:t>
      </w:r>
      <w:r w:rsidR="002F6015" w:rsidRPr="0043498C">
        <w:rPr>
          <w:rFonts w:cstheme="minorHAnsi"/>
          <w:sz w:val="18"/>
          <w:szCs w:val="18"/>
        </w:rPr>
        <w:t xml:space="preserve">Volgens </w:t>
      </w:r>
      <w:proofErr w:type="spellStart"/>
      <w:r w:rsidR="002F6015" w:rsidRPr="0043498C">
        <w:rPr>
          <w:rFonts w:cstheme="minorHAnsi"/>
          <w:sz w:val="18"/>
          <w:szCs w:val="18"/>
        </w:rPr>
        <w:t>Bkl</w:t>
      </w:r>
      <w:proofErr w:type="spellEnd"/>
      <w:r w:rsidR="002F6015" w:rsidRPr="0043498C">
        <w:rPr>
          <w:rFonts w:cstheme="minorHAnsi"/>
          <w:sz w:val="18"/>
          <w:szCs w:val="18"/>
        </w:rPr>
        <w:t>, art. 5.24 laat een omgevingsplan binnen deze EAV geen kwetsbare gebouwen en locaties (</w:t>
      </w:r>
      <w:proofErr w:type="spellStart"/>
      <w:r w:rsidR="002F6015" w:rsidRPr="0043498C">
        <w:rPr>
          <w:rFonts w:cstheme="minorHAnsi"/>
          <w:sz w:val="18"/>
          <w:szCs w:val="18"/>
        </w:rPr>
        <w:t>KLG’s</w:t>
      </w:r>
      <w:proofErr w:type="spellEnd"/>
      <w:r w:rsidR="002F6015" w:rsidRPr="0043498C">
        <w:rPr>
          <w:rFonts w:cstheme="minorHAnsi"/>
          <w:sz w:val="18"/>
          <w:szCs w:val="18"/>
        </w:rPr>
        <w:t xml:space="preserve">) toe. Dit tenzij er een functionele binding is. Voor de </w:t>
      </w:r>
      <w:proofErr w:type="spellStart"/>
      <w:r w:rsidR="002F6015" w:rsidRPr="0043498C">
        <w:rPr>
          <w:rFonts w:cstheme="minorHAnsi"/>
          <w:sz w:val="18"/>
          <w:szCs w:val="18"/>
        </w:rPr>
        <w:t>KGL’s</w:t>
      </w:r>
      <w:proofErr w:type="spellEnd"/>
      <w:r w:rsidR="002F6015" w:rsidRPr="0043498C">
        <w:rPr>
          <w:rFonts w:cstheme="minorHAnsi"/>
          <w:sz w:val="18"/>
          <w:szCs w:val="18"/>
        </w:rPr>
        <w:t xml:space="preserve"> zijn er in het geval van een EAV weer bijzondere grenzen, die net weer even afwijken van de gebruikelijke begrenzing. Omdat dit op zichzelf geen onderwerp is van de activiteit EAV wordt kortheidshalve verwezen naar het desbetreffende art. 5.22 van het </w:t>
      </w:r>
      <w:proofErr w:type="spellStart"/>
      <w:r w:rsidR="002F6015" w:rsidRPr="0043498C">
        <w:rPr>
          <w:rFonts w:cstheme="minorHAnsi"/>
          <w:sz w:val="18"/>
          <w:szCs w:val="18"/>
        </w:rPr>
        <w:t>Bkl</w:t>
      </w:r>
      <w:proofErr w:type="spellEnd"/>
      <w:r w:rsidR="002F6015" w:rsidRPr="0043498C">
        <w:rPr>
          <w:rFonts w:cstheme="minorHAnsi"/>
          <w:sz w:val="18"/>
          <w:szCs w:val="18"/>
        </w:rPr>
        <w:t xml:space="preserve">. </w:t>
      </w:r>
      <w:r w:rsidR="00035962">
        <w:rPr>
          <w:rFonts w:cstheme="minorHAnsi"/>
          <w:bCs/>
          <w:color w:val="FF0000"/>
          <w:sz w:val="18"/>
          <w:szCs w:val="18"/>
        </w:rPr>
        <w:t>Wel</w:t>
      </w:r>
      <w:r w:rsidR="00032F06">
        <w:rPr>
          <w:rFonts w:cstheme="minorHAnsi"/>
          <w:bCs/>
          <w:color w:val="FF0000"/>
          <w:sz w:val="18"/>
          <w:szCs w:val="18"/>
        </w:rPr>
        <w:t xml:space="preserve"> blijft</w:t>
      </w:r>
      <w:r w:rsidR="00035962">
        <w:rPr>
          <w:rFonts w:cstheme="minorHAnsi"/>
          <w:bCs/>
          <w:color w:val="FF0000"/>
          <w:sz w:val="18"/>
          <w:szCs w:val="18"/>
        </w:rPr>
        <w:t xml:space="preserve">  </w:t>
      </w:r>
      <w:r w:rsidR="00035962" w:rsidRPr="00B903E1">
        <w:rPr>
          <w:rFonts w:cstheme="minorHAnsi"/>
          <w:bCs/>
          <w:color w:val="FF0000"/>
          <w:sz w:val="18"/>
          <w:szCs w:val="18"/>
        </w:rPr>
        <w:t>essentieel dat een “explosieaandachtsgebied vuurwerk” (</w:t>
      </w:r>
      <w:proofErr w:type="spellStart"/>
      <w:r w:rsidR="00035962" w:rsidRPr="00B903E1">
        <w:rPr>
          <w:rFonts w:cstheme="minorHAnsi"/>
          <w:bCs/>
          <w:color w:val="FF0000"/>
          <w:sz w:val="18"/>
          <w:szCs w:val="18"/>
        </w:rPr>
        <w:t>Bkl</w:t>
      </w:r>
      <w:proofErr w:type="spellEnd"/>
      <w:r w:rsidR="00035962" w:rsidRPr="00B903E1">
        <w:rPr>
          <w:rFonts w:cstheme="minorHAnsi"/>
          <w:bCs/>
          <w:color w:val="FF0000"/>
          <w:sz w:val="18"/>
          <w:szCs w:val="18"/>
        </w:rPr>
        <w:t xml:space="preserve">, bijlage VIII) een andere betekenis heeft dan de </w:t>
      </w:r>
      <w:r w:rsidR="00035962">
        <w:rPr>
          <w:rFonts w:cstheme="minorHAnsi"/>
          <w:bCs/>
          <w:color w:val="FF0000"/>
          <w:sz w:val="18"/>
          <w:szCs w:val="18"/>
        </w:rPr>
        <w:t>“</w:t>
      </w:r>
      <w:r w:rsidR="00035962" w:rsidRPr="00B903E1">
        <w:rPr>
          <w:rFonts w:cstheme="minorHAnsi"/>
          <w:bCs/>
          <w:color w:val="FF0000"/>
          <w:sz w:val="18"/>
          <w:szCs w:val="18"/>
        </w:rPr>
        <w:t>explosieaandachtsgebieden</w:t>
      </w:r>
      <w:r w:rsidR="00035962">
        <w:rPr>
          <w:rFonts w:cstheme="minorHAnsi"/>
          <w:bCs/>
          <w:color w:val="FF0000"/>
          <w:sz w:val="18"/>
          <w:szCs w:val="18"/>
        </w:rPr>
        <w:t>”</w:t>
      </w:r>
      <w:r w:rsidR="00035962" w:rsidRPr="00B903E1">
        <w:rPr>
          <w:rFonts w:cstheme="minorHAnsi"/>
          <w:bCs/>
          <w:color w:val="FF0000"/>
          <w:sz w:val="18"/>
          <w:szCs w:val="18"/>
        </w:rPr>
        <w:t xml:space="preserve"> uit </w:t>
      </w:r>
      <w:proofErr w:type="spellStart"/>
      <w:r w:rsidR="00035962" w:rsidRPr="00B903E1">
        <w:rPr>
          <w:rFonts w:cstheme="minorHAnsi"/>
          <w:bCs/>
          <w:color w:val="FF0000"/>
          <w:sz w:val="18"/>
          <w:szCs w:val="18"/>
        </w:rPr>
        <w:t>Bkl</w:t>
      </w:r>
      <w:proofErr w:type="spellEnd"/>
      <w:r w:rsidR="00035962" w:rsidRPr="00B903E1">
        <w:rPr>
          <w:rFonts w:cstheme="minorHAnsi"/>
          <w:bCs/>
          <w:color w:val="FF0000"/>
          <w:sz w:val="18"/>
          <w:szCs w:val="18"/>
        </w:rPr>
        <w:t xml:space="preserve">, bijlage VII. Daarom moeten deze </w:t>
      </w:r>
      <w:r w:rsidR="00035962">
        <w:rPr>
          <w:rFonts w:cstheme="minorHAnsi"/>
          <w:bCs/>
          <w:color w:val="FF0000"/>
          <w:sz w:val="18"/>
          <w:szCs w:val="18"/>
        </w:rPr>
        <w:t>“explosie</w:t>
      </w:r>
      <w:r w:rsidR="00035962" w:rsidRPr="00B903E1">
        <w:rPr>
          <w:rFonts w:cstheme="minorHAnsi"/>
          <w:bCs/>
          <w:color w:val="FF0000"/>
          <w:sz w:val="18"/>
          <w:szCs w:val="18"/>
        </w:rPr>
        <w:t>aandachtsgebieden</w:t>
      </w:r>
      <w:r w:rsidR="00035962">
        <w:rPr>
          <w:rFonts w:cstheme="minorHAnsi"/>
          <w:bCs/>
          <w:color w:val="FF0000"/>
          <w:sz w:val="18"/>
          <w:szCs w:val="18"/>
        </w:rPr>
        <w:t xml:space="preserve"> vuurwerk”</w:t>
      </w:r>
      <w:r w:rsidR="00035962" w:rsidRPr="00B903E1">
        <w:rPr>
          <w:rFonts w:cstheme="minorHAnsi"/>
          <w:bCs/>
          <w:color w:val="FF0000"/>
          <w:sz w:val="18"/>
          <w:szCs w:val="18"/>
        </w:rPr>
        <w:t xml:space="preserve"> ook steeds voluit </w:t>
      </w:r>
      <w:r w:rsidR="00035962">
        <w:rPr>
          <w:rFonts w:cstheme="minorHAnsi"/>
          <w:bCs/>
          <w:color w:val="FF0000"/>
          <w:sz w:val="18"/>
          <w:szCs w:val="18"/>
        </w:rPr>
        <w:t xml:space="preserve">als zodanig aangeduid worden. </w:t>
      </w:r>
    </w:p>
    <w:p w14:paraId="723ACB74" w14:textId="77777777" w:rsidR="002D198C" w:rsidRPr="0043498C" w:rsidRDefault="002D198C" w:rsidP="00D91DBF">
      <w:pPr>
        <w:autoSpaceDE w:val="0"/>
        <w:autoSpaceDN w:val="0"/>
        <w:adjustRightInd w:val="0"/>
        <w:spacing w:after="0" w:line="276" w:lineRule="auto"/>
        <w:rPr>
          <w:rFonts w:cstheme="minorHAnsi"/>
          <w:sz w:val="18"/>
          <w:szCs w:val="18"/>
        </w:rPr>
      </w:pPr>
    </w:p>
    <w:p w14:paraId="549C03AC" w14:textId="77777777" w:rsidR="002D198C" w:rsidRPr="0043498C" w:rsidRDefault="002D198C" w:rsidP="00D91DBF">
      <w:pPr>
        <w:autoSpaceDE w:val="0"/>
        <w:autoSpaceDN w:val="0"/>
        <w:adjustRightInd w:val="0"/>
        <w:spacing w:after="0" w:line="276" w:lineRule="auto"/>
        <w:rPr>
          <w:rFonts w:cstheme="minorHAnsi"/>
          <w:sz w:val="18"/>
          <w:szCs w:val="18"/>
        </w:rPr>
      </w:pPr>
      <w:r w:rsidRPr="0043498C">
        <w:rPr>
          <w:rFonts w:cstheme="minorHAnsi"/>
          <w:sz w:val="18"/>
          <w:szCs w:val="18"/>
        </w:rPr>
        <w:t>In grote lijnen is dit de aanpak:</w:t>
      </w:r>
    </w:p>
    <w:p w14:paraId="0045B1EF" w14:textId="77777777" w:rsidR="00D91DBF" w:rsidRPr="0043498C" w:rsidRDefault="002F6015" w:rsidP="00D91DBF">
      <w:pPr>
        <w:autoSpaceDE w:val="0"/>
        <w:autoSpaceDN w:val="0"/>
        <w:adjustRightInd w:val="0"/>
        <w:spacing w:after="0" w:line="276" w:lineRule="auto"/>
        <w:rPr>
          <w:rFonts w:cstheme="minorHAnsi"/>
          <w:sz w:val="18"/>
          <w:szCs w:val="18"/>
        </w:rPr>
      </w:pPr>
      <w:r w:rsidRPr="0043498C">
        <w:rPr>
          <w:rFonts w:cstheme="minorHAnsi"/>
          <w:sz w:val="18"/>
          <w:szCs w:val="18"/>
        </w:rPr>
        <w:t xml:space="preserve">De afstanden voor de </w:t>
      </w:r>
      <w:proofErr w:type="spellStart"/>
      <w:r w:rsidRPr="0043498C">
        <w:rPr>
          <w:rFonts w:cstheme="minorHAnsi"/>
          <w:sz w:val="18"/>
          <w:szCs w:val="18"/>
        </w:rPr>
        <w:t>EAV’s</w:t>
      </w:r>
      <w:proofErr w:type="spellEnd"/>
      <w:r w:rsidRPr="0043498C">
        <w:rPr>
          <w:rFonts w:cstheme="minorHAnsi"/>
          <w:sz w:val="18"/>
          <w:szCs w:val="18"/>
        </w:rPr>
        <w:t xml:space="preserve"> zijn </w:t>
      </w:r>
      <w:r w:rsidR="00D91DBF" w:rsidRPr="0043498C">
        <w:rPr>
          <w:rFonts w:cstheme="minorHAnsi"/>
          <w:sz w:val="18"/>
          <w:szCs w:val="18"/>
        </w:rPr>
        <w:t xml:space="preserve"> geregeld in het </w:t>
      </w:r>
      <w:proofErr w:type="spellStart"/>
      <w:r w:rsidR="00D91DBF" w:rsidRPr="0043498C">
        <w:rPr>
          <w:rFonts w:cstheme="minorHAnsi"/>
          <w:sz w:val="18"/>
          <w:szCs w:val="18"/>
        </w:rPr>
        <w:t>Bkl</w:t>
      </w:r>
      <w:proofErr w:type="spellEnd"/>
      <w:r w:rsidR="00D91DBF" w:rsidRPr="0043498C">
        <w:rPr>
          <w:rFonts w:cstheme="minorHAnsi"/>
          <w:sz w:val="18"/>
          <w:szCs w:val="18"/>
        </w:rPr>
        <w:t>, bijlage VIII, onder A en B</w:t>
      </w:r>
      <w:r w:rsidRPr="0043498C">
        <w:rPr>
          <w:rFonts w:cstheme="minorHAnsi"/>
          <w:sz w:val="18"/>
          <w:szCs w:val="18"/>
        </w:rPr>
        <w:t xml:space="preserve">. </w:t>
      </w:r>
      <w:r w:rsidR="00035962">
        <w:rPr>
          <w:rFonts w:cstheme="minorHAnsi"/>
          <w:sz w:val="18"/>
          <w:szCs w:val="18"/>
        </w:rPr>
        <w:t xml:space="preserve">Daarbij wordt verwezen naar </w:t>
      </w:r>
      <w:proofErr w:type="spellStart"/>
      <w:r w:rsidR="00035962">
        <w:rPr>
          <w:rFonts w:cstheme="minorHAnsi"/>
          <w:sz w:val="18"/>
          <w:szCs w:val="18"/>
        </w:rPr>
        <w:t>Bkl</w:t>
      </w:r>
      <w:proofErr w:type="spellEnd"/>
      <w:r w:rsidR="00035962">
        <w:rPr>
          <w:rFonts w:cstheme="minorHAnsi"/>
          <w:sz w:val="18"/>
          <w:szCs w:val="18"/>
        </w:rPr>
        <w:t>, art. 5.23, waarin weer verwezen wordt naar Bal, art. 3.31. Dat art</w:t>
      </w:r>
      <w:r w:rsidR="00032F06">
        <w:rPr>
          <w:rFonts w:cstheme="minorHAnsi"/>
          <w:sz w:val="18"/>
          <w:szCs w:val="18"/>
        </w:rPr>
        <w:t>.3.31</w:t>
      </w:r>
      <w:r w:rsidR="00035962">
        <w:rPr>
          <w:rFonts w:cstheme="minorHAnsi"/>
          <w:sz w:val="18"/>
          <w:szCs w:val="18"/>
        </w:rPr>
        <w:t xml:space="preserve"> wijst </w:t>
      </w:r>
      <w:r w:rsidR="00032F06">
        <w:rPr>
          <w:rFonts w:cstheme="minorHAnsi"/>
          <w:sz w:val="18"/>
          <w:szCs w:val="18"/>
        </w:rPr>
        <w:t xml:space="preserve">het </w:t>
      </w:r>
      <w:proofErr w:type="spellStart"/>
      <w:r w:rsidR="00035962">
        <w:rPr>
          <w:rFonts w:cstheme="minorHAnsi"/>
          <w:sz w:val="18"/>
          <w:szCs w:val="18"/>
        </w:rPr>
        <w:t>vergunningplichtig</w:t>
      </w:r>
      <w:proofErr w:type="spellEnd"/>
      <w:r w:rsidR="00035962">
        <w:rPr>
          <w:rFonts w:cstheme="minorHAnsi"/>
          <w:sz w:val="18"/>
          <w:szCs w:val="18"/>
        </w:rPr>
        <w:t xml:space="preserve"> </w:t>
      </w:r>
      <w:r w:rsidR="00032F06">
        <w:rPr>
          <w:rFonts w:cstheme="minorHAnsi"/>
          <w:sz w:val="18"/>
          <w:szCs w:val="18"/>
        </w:rPr>
        <w:t xml:space="preserve">deel aan van de milieubelastende activiteit (MBA) uit Bal, art. 3.30 ”Opslaan, </w:t>
      </w:r>
      <w:proofErr w:type="spellStart"/>
      <w:r w:rsidR="00032F06">
        <w:rPr>
          <w:rFonts w:cstheme="minorHAnsi"/>
          <w:sz w:val="18"/>
          <w:szCs w:val="18"/>
        </w:rPr>
        <w:t>herverpakken</w:t>
      </w:r>
      <w:proofErr w:type="spellEnd"/>
      <w:r w:rsidR="00032F06">
        <w:rPr>
          <w:rFonts w:cstheme="minorHAnsi"/>
          <w:sz w:val="18"/>
          <w:szCs w:val="18"/>
        </w:rPr>
        <w:t xml:space="preserve"> en bewerken van vuurwerk of pyrotechnische artikelen voor theatergebruik”. </w:t>
      </w:r>
    </w:p>
    <w:p w14:paraId="0CC7C624" w14:textId="77777777" w:rsidR="00946444" w:rsidRPr="0043498C" w:rsidRDefault="002D198C" w:rsidP="007849CC">
      <w:pPr>
        <w:autoSpaceDE w:val="0"/>
        <w:autoSpaceDN w:val="0"/>
        <w:adjustRightInd w:val="0"/>
        <w:spacing w:after="0" w:line="276" w:lineRule="auto"/>
        <w:rPr>
          <w:rFonts w:cstheme="minorHAnsi"/>
          <w:sz w:val="18"/>
          <w:szCs w:val="18"/>
        </w:rPr>
      </w:pPr>
      <w:r w:rsidRPr="0043498C">
        <w:rPr>
          <w:rFonts w:cstheme="minorHAnsi"/>
          <w:sz w:val="18"/>
          <w:szCs w:val="18"/>
        </w:rPr>
        <w:t xml:space="preserve">Onder A </w:t>
      </w:r>
      <w:r w:rsidR="00035962">
        <w:rPr>
          <w:rFonts w:cstheme="minorHAnsi"/>
          <w:sz w:val="18"/>
          <w:szCs w:val="18"/>
        </w:rPr>
        <w:t xml:space="preserve">valt </w:t>
      </w:r>
      <w:r w:rsidRPr="0043498C">
        <w:rPr>
          <w:rFonts w:cstheme="minorHAnsi"/>
          <w:sz w:val="18"/>
          <w:szCs w:val="18"/>
        </w:rPr>
        <w:t>de opslag van categorie F4</w:t>
      </w:r>
      <w:r w:rsidR="00B9030E" w:rsidRPr="0043498C">
        <w:rPr>
          <w:rFonts w:cstheme="minorHAnsi"/>
          <w:sz w:val="18"/>
          <w:szCs w:val="18"/>
        </w:rPr>
        <w:t xml:space="preserve"> (veel gevaar en uitsluitend bestemd voor professionals)</w:t>
      </w:r>
    </w:p>
    <w:p w14:paraId="6708FBEA" w14:textId="77777777" w:rsidR="003E1B6C" w:rsidRPr="0043498C" w:rsidRDefault="002D198C" w:rsidP="007849CC">
      <w:pPr>
        <w:autoSpaceDE w:val="0"/>
        <w:autoSpaceDN w:val="0"/>
        <w:adjustRightInd w:val="0"/>
        <w:spacing w:after="0" w:line="276" w:lineRule="auto"/>
        <w:rPr>
          <w:rFonts w:cstheme="minorHAnsi"/>
          <w:sz w:val="18"/>
          <w:szCs w:val="18"/>
        </w:rPr>
      </w:pPr>
      <w:r w:rsidRPr="0043498C">
        <w:rPr>
          <w:rFonts w:cstheme="minorHAnsi"/>
          <w:sz w:val="18"/>
          <w:szCs w:val="18"/>
        </w:rPr>
        <w:t xml:space="preserve">Onder B </w:t>
      </w:r>
      <w:r w:rsidR="00035962">
        <w:rPr>
          <w:rFonts w:cstheme="minorHAnsi"/>
          <w:sz w:val="18"/>
          <w:szCs w:val="18"/>
        </w:rPr>
        <w:t xml:space="preserve">valt </w:t>
      </w:r>
      <w:r w:rsidRPr="0043498C">
        <w:rPr>
          <w:rFonts w:cstheme="minorHAnsi"/>
          <w:sz w:val="18"/>
          <w:szCs w:val="18"/>
        </w:rPr>
        <w:t xml:space="preserve">de opslag van de categorie F1, F2, F3 </w:t>
      </w:r>
      <w:r w:rsidR="00B9030E" w:rsidRPr="0043498C">
        <w:rPr>
          <w:rFonts w:cstheme="minorHAnsi"/>
          <w:sz w:val="18"/>
          <w:szCs w:val="18"/>
        </w:rPr>
        <w:t xml:space="preserve">(weinig gevaar, </w:t>
      </w:r>
      <w:proofErr w:type="spellStart"/>
      <w:r w:rsidR="00B9030E" w:rsidRPr="0043498C">
        <w:rPr>
          <w:rFonts w:cstheme="minorHAnsi"/>
          <w:sz w:val="18"/>
          <w:szCs w:val="18"/>
        </w:rPr>
        <w:t>cq</w:t>
      </w:r>
      <w:proofErr w:type="spellEnd"/>
      <w:r w:rsidR="00B9030E" w:rsidRPr="0043498C">
        <w:rPr>
          <w:rFonts w:cstheme="minorHAnsi"/>
          <w:sz w:val="18"/>
          <w:szCs w:val="18"/>
        </w:rPr>
        <w:t xml:space="preserve"> middelmatig gevaar) </w:t>
      </w:r>
      <w:r w:rsidRPr="0043498C">
        <w:rPr>
          <w:rFonts w:cstheme="minorHAnsi"/>
          <w:sz w:val="18"/>
          <w:szCs w:val="18"/>
        </w:rPr>
        <w:t>of pyrotechnische artikele</w:t>
      </w:r>
      <w:r w:rsidR="00B9030E" w:rsidRPr="0043498C">
        <w:rPr>
          <w:rFonts w:cstheme="minorHAnsi"/>
          <w:sz w:val="18"/>
          <w:szCs w:val="18"/>
        </w:rPr>
        <w:t>n</w:t>
      </w:r>
      <w:r w:rsidRPr="0043498C">
        <w:rPr>
          <w:rFonts w:cstheme="minorHAnsi"/>
          <w:sz w:val="18"/>
          <w:szCs w:val="18"/>
        </w:rPr>
        <w:t xml:space="preserve"> voor theatergebruik van categorie T1 of T2</w:t>
      </w:r>
      <w:r w:rsidR="00B9030E" w:rsidRPr="0043498C">
        <w:rPr>
          <w:rFonts w:cstheme="minorHAnsi"/>
          <w:sz w:val="18"/>
          <w:szCs w:val="18"/>
        </w:rPr>
        <w:t xml:space="preserve"> (voor podiumgebruik met gering gevaar, resp. uitsluitend bestemd voor professionals)</w:t>
      </w:r>
      <w:r w:rsidRPr="0043498C">
        <w:rPr>
          <w:rFonts w:cstheme="minorHAnsi"/>
          <w:sz w:val="18"/>
          <w:szCs w:val="18"/>
        </w:rPr>
        <w:t xml:space="preserve">. </w:t>
      </w:r>
    </w:p>
    <w:p w14:paraId="5EB527FF" w14:textId="77777777" w:rsidR="003E1B6C" w:rsidRPr="0043498C" w:rsidRDefault="003E1B6C" w:rsidP="007849CC">
      <w:pPr>
        <w:autoSpaceDE w:val="0"/>
        <w:autoSpaceDN w:val="0"/>
        <w:adjustRightInd w:val="0"/>
        <w:spacing w:after="0" w:line="276" w:lineRule="auto"/>
        <w:rPr>
          <w:rFonts w:cstheme="minorHAnsi"/>
          <w:b/>
          <w:sz w:val="18"/>
          <w:szCs w:val="18"/>
        </w:rPr>
      </w:pPr>
    </w:p>
    <w:p w14:paraId="66CC570C" w14:textId="77777777" w:rsidR="006842D3" w:rsidRPr="0043498C" w:rsidRDefault="006842D3" w:rsidP="007849CC">
      <w:pPr>
        <w:autoSpaceDE w:val="0"/>
        <w:autoSpaceDN w:val="0"/>
        <w:adjustRightInd w:val="0"/>
        <w:spacing w:after="0" w:line="276" w:lineRule="auto"/>
        <w:rPr>
          <w:rFonts w:asciiTheme="majorHAnsi" w:hAnsiTheme="majorHAnsi" w:cstheme="majorHAnsi"/>
          <w:b/>
          <w:sz w:val="18"/>
          <w:szCs w:val="18"/>
        </w:rPr>
      </w:pPr>
      <w:proofErr w:type="spellStart"/>
      <w:r w:rsidRPr="0043498C">
        <w:rPr>
          <w:rFonts w:asciiTheme="majorHAnsi" w:hAnsiTheme="majorHAnsi" w:cstheme="majorHAnsi"/>
          <w:b/>
          <w:sz w:val="18"/>
          <w:szCs w:val="18"/>
        </w:rPr>
        <w:t>Bkl</w:t>
      </w:r>
      <w:proofErr w:type="spellEnd"/>
      <w:r w:rsidRPr="0043498C">
        <w:rPr>
          <w:rFonts w:asciiTheme="majorHAnsi" w:hAnsiTheme="majorHAnsi" w:cstheme="majorHAnsi"/>
          <w:b/>
          <w:sz w:val="18"/>
          <w:szCs w:val="18"/>
        </w:rPr>
        <w:t>, Artikel 10.1</w:t>
      </w:r>
      <w:r w:rsidRPr="0043498C">
        <w:rPr>
          <w:rFonts w:asciiTheme="majorHAnsi" w:hAnsiTheme="majorHAnsi" w:cstheme="majorHAnsi"/>
          <w:b/>
          <w:bCs/>
          <w:color w:val="000000"/>
          <w:sz w:val="18"/>
          <w:szCs w:val="18"/>
        </w:rPr>
        <w:t xml:space="preserve"> (verantwoordelijkheid gegevensverzameling externe veiligheidsrisico’s)</w:t>
      </w:r>
    </w:p>
    <w:p w14:paraId="48345966" w14:textId="77777777" w:rsidR="006842D3" w:rsidRPr="0043498C" w:rsidRDefault="006842D3" w:rsidP="007849CC">
      <w:pPr>
        <w:autoSpaceDE w:val="0"/>
        <w:autoSpaceDN w:val="0"/>
        <w:adjustRightInd w:val="0"/>
        <w:spacing w:after="0" w:line="276" w:lineRule="auto"/>
        <w:rPr>
          <w:rFonts w:asciiTheme="majorHAnsi" w:hAnsiTheme="majorHAnsi" w:cstheme="majorHAnsi"/>
          <w:sz w:val="18"/>
          <w:szCs w:val="18"/>
        </w:rPr>
      </w:pPr>
      <w:r w:rsidRPr="0043498C">
        <w:rPr>
          <w:rFonts w:asciiTheme="majorHAnsi" w:hAnsiTheme="majorHAnsi" w:cstheme="majorHAnsi"/>
          <w:sz w:val="18"/>
          <w:szCs w:val="18"/>
        </w:rPr>
        <w:t xml:space="preserve">De volgende bestuursorganen verzamelen gegevens over externe veiligheidsrisico’s: </w:t>
      </w:r>
    </w:p>
    <w:p w14:paraId="1B56896E" w14:textId="77777777" w:rsidR="006842D3" w:rsidRPr="0043498C" w:rsidRDefault="006842D3" w:rsidP="007849CC">
      <w:pPr>
        <w:autoSpaceDE w:val="0"/>
        <w:autoSpaceDN w:val="0"/>
        <w:adjustRightInd w:val="0"/>
        <w:spacing w:after="0" w:line="276" w:lineRule="auto"/>
        <w:rPr>
          <w:rFonts w:asciiTheme="majorHAnsi" w:hAnsiTheme="majorHAnsi" w:cstheme="majorHAnsi"/>
          <w:sz w:val="18"/>
          <w:szCs w:val="18"/>
        </w:rPr>
      </w:pPr>
      <w:r w:rsidRPr="0043498C">
        <w:rPr>
          <w:rFonts w:asciiTheme="majorHAnsi" w:hAnsiTheme="majorHAnsi" w:cstheme="majorHAnsi"/>
          <w:sz w:val="18"/>
          <w:szCs w:val="18"/>
        </w:rPr>
        <w:t xml:space="preserve">a. het </w:t>
      </w:r>
      <w:r w:rsidRPr="0043498C">
        <w:rPr>
          <w:rFonts w:asciiTheme="majorHAnsi" w:hAnsiTheme="majorHAnsi" w:cstheme="majorHAnsi"/>
          <w:color w:val="FF0000"/>
          <w:sz w:val="18"/>
          <w:szCs w:val="18"/>
        </w:rPr>
        <w:t xml:space="preserve">bevoegd gezag </w:t>
      </w:r>
      <w:r w:rsidRPr="0043498C">
        <w:rPr>
          <w:rFonts w:asciiTheme="majorHAnsi" w:hAnsiTheme="majorHAnsi" w:cstheme="majorHAnsi"/>
          <w:sz w:val="18"/>
          <w:szCs w:val="18"/>
        </w:rPr>
        <w:t xml:space="preserve">dat beslist op een aanvraag om een omgevingsvergunning of waaraan een melding als bedoeld in het Besluit activiteiten leefomgeving wordt gedaan, als het gaat om: </w:t>
      </w:r>
    </w:p>
    <w:p w14:paraId="61E2FF99" w14:textId="77777777" w:rsidR="003E1B6C" w:rsidRPr="0043498C" w:rsidRDefault="003E1B6C" w:rsidP="00B9030E">
      <w:pPr>
        <w:autoSpaceDE w:val="0"/>
        <w:autoSpaceDN w:val="0"/>
        <w:adjustRightInd w:val="0"/>
        <w:spacing w:after="0" w:line="240" w:lineRule="auto"/>
        <w:rPr>
          <w:rFonts w:asciiTheme="majorHAnsi" w:hAnsiTheme="majorHAnsi" w:cstheme="majorHAnsi"/>
          <w:color w:val="000000"/>
          <w:sz w:val="18"/>
          <w:szCs w:val="18"/>
        </w:rPr>
      </w:pPr>
      <w:r w:rsidRPr="0043498C">
        <w:rPr>
          <w:rFonts w:asciiTheme="majorHAnsi" w:hAnsiTheme="majorHAnsi" w:cstheme="majorHAnsi"/>
          <w:color w:val="000000"/>
          <w:sz w:val="18"/>
          <w:szCs w:val="18"/>
        </w:rPr>
        <w:t>[…]</w:t>
      </w:r>
    </w:p>
    <w:p w14:paraId="5C748B17" w14:textId="77777777" w:rsidR="00B9030E" w:rsidRPr="00B9030E" w:rsidRDefault="00B9030E" w:rsidP="00B9030E">
      <w:pPr>
        <w:autoSpaceDE w:val="0"/>
        <w:autoSpaceDN w:val="0"/>
        <w:adjustRightInd w:val="0"/>
        <w:spacing w:after="0" w:line="240" w:lineRule="auto"/>
        <w:rPr>
          <w:rFonts w:asciiTheme="majorHAnsi" w:hAnsiTheme="majorHAnsi" w:cstheme="majorHAnsi"/>
          <w:color w:val="000000"/>
          <w:sz w:val="18"/>
          <w:szCs w:val="18"/>
        </w:rPr>
      </w:pPr>
      <w:r w:rsidRPr="00B9030E">
        <w:rPr>
          <w:rFonts w:asciiTheme="majorHAnsi" w:hAnsiTheme="majorHAnsi" w:cstheme="majorHAnsi"/>
          <w:color w:val="000000"/>
          <w:sz w:val="18"/>
          <w:szCs w:val="18"/>
        </w:rPr>
        <w:t xml:space="preserve">2°. het opslaan, </w:t>
      </w:r>
      <w:proofErr w:type="spellStart"/>
      <w:r w:rsidRPr="00B9030E">
        <w:rPr>
          <w:rFonts w:asciiTheme="majorHAnsi" w:hAnsiTheme="majorHAnsi" w:cstheme="majorHAnsi"/>
          <w:color w:val="000000"/>
          <w:sz w:val="18"/>
          <w:szCs w:val="18"/>
        </w:rPr>
        <w:t>herverpakken</w:t>
      </w:r>
      <w:proofErr w:type="spellEnd"/>
      <w:r w:rsidRPr="00B9030E">
        <w:rPr>
          <w:rFonts w:asciiTheme="majorHAnsi" w:hAnsiTheme="majorHAnsi" w:cstheme="majorHAnsi"/>
          <w:color w:val="000000"/>
          <w:sz w:val="18"/>
          <w:szCs w:val="18"/>
        </w:rPr>
        <w:t xml:space="preserve"> of bewerken van </w:t>
      </w:r>
      <w:r w:rsidRPr="00035962">
        <w:rPr>
          <w:rFonts w:asciiTheme="majorHAnsi" w:hAnsiTheme="majorHAnsi" w:cstheme="majorHAnsi"/>
          <w:color w:val="FF0000"/>
          <w:sz w:val="18"/>
          <w:szCs w:val="18"/>
        </w:rPr>
        <w:t>vuurwerk of pyrotechnische artikelen voor theatergebruik</w:t>
      </w:r>
      <w:r w:rsidRPr="00B9030E">
        <w:rPr>
          <w:rFonts w:asciiTheme="majorHAnsi" w:hAnsiTheme="majorHAnsi" w:cstheme="majorHAnsi"/>
          <w:color w:val="000000"/>
          <w:sz w:val="18"/>
          <w:szCs w:val="18"/>
        </w:rPr>
        <w:t xml:space="preserve">, bedoeld in artikel 3.31, eerste lid, van het Besluit activiteiten leefomgeving; en </w:t>
      </w:r>
    </w:p>
    <w:p w14:paraId="7E08CA84" w14:textId="77777777" w:rsidR="00B9030E" w:rsidRPr="00B9030E" w:rsidRDefault="00B9030E" w:rsidP="00B9030E">
      <w:pPr>
        <w:autoSpaceDE w:val="0"/>
        <w:autoSpaceDN w:val="0"/>
        <w:adjustRightInd w:val="0"/>
        <w:spacing w:after="0" w:line="276" w:lineRule="auto"/>
        <w:rPr>
          <w:rFonts w:asciiTheme="majorHAnsi" w:hAnsiTheme="majorHAnsi" w:cstheme="majorHAnsi"/>
          <w:b/>
          <w:bCs/>
          <w:color w:val="000000"/>
          <w:szCs w:val="18"/>
        </w:rPr>
      </w:pPr>
    </w:p>
    <w:p w14:paraId="324E3000" w14:textId="77777777" w:rsidR="006842D3" w:rsidRPr="0043498C" w:rsidRDefault="006842D3" w:rsidP="007849CC">
      <w:pPr>
        <w:autoSpaceDE w:val="0"/>
        <w:autoSpaceDN w:val="0"/>
        <w:adjustRightInd w:val="0"/>
        <w:spacing w:after="0" w:line="276" w:lineRule="auto"/>
        <w:rPr>
          <w:rFonts w:asciiTheme="majorHAnsi" w:hAnsiTheme="majorHAnsi" w:cstheme="majorHAnsi"/>
          <w:color w:val="000000"/>
          <w:sz w:val="18"/>
          <w:szCs w:val="18"/>
        </w:rPr>
      </w:pPr>
      <w:proofErr w:type="spellStart"/>
      <w:r w:rsidRPr="0043498C">
        <w:rPr>
          <w:rFonts w:asciiTheme="majorHAnsi" w:hAnsiTheme="majorHAnsi" w:cstheme="majorHAnsi"/>
          <w:b/>
          <w:bCs/>
          <w:color w:val="000000"/>
          <w:sz w:val="18"/>
          <w:szCs w:val="18"/>
        </w:rPr>
        <w:t>Bkl</w:t>
      </w:r>
      <w:proofErr w:type="spellEnd"/>
      <w:r w:rsidRPr="0043498C">
        <w:rPr>
          <w:rFonts w:asciiTheme="majorHAnsi" w:hAnsiTheme="majorHAnsi" w:cstheme="majorHAnsi"/>
          <w:b/>
          <w:bCs/>
          <w:color w:val="000000"/>
          <w:sz w:val="18"/>
          <w:szCs w:val="18"/>
        </w:rPr>
        <w:t xml:space="preserve">, Artikel 10.2 (gegevensverzameling externe veiligheidsrisico’s algemeen) </w:t>
      </w:r>
    </w:p>
    <w:p w14:paraId="7C944830" w14:textId="77777777" w:rsidR="006842D3" w:rsidRPr="007E56E3" w:rsidRDefault="007E56E3" w:rsidP="007849CC">
      <w:pPr>
        <w:autoSpaceDE w:val="0"/>
        <w:autoSpaceDN w:val="0"/>
        <w:adjustRightInd w:val="0"/>
        <w:spacing w:after="0" w:line="276" w:lineRule="auto"/>
        <w:rPr>
          <w:rFonts w:asciiTheme="majorHAnsi" w:hAnsiTheme="majorHAnsi" w:cstheme="majorHAnsi"/>
          <w:bCs/>
          <w:color w:val="000000"/>
          <w:sz w:val="18"/>
          <w:szCs w:val="18"/>
        </w:rPr>
      </w:pPr>
      <w:r w:rsidRPr="007E56E3">
        <w:rPr>
          <w:rFonts w:asciiTheme="majorHAnsi" w:hAnsiTheme="majorHAnsi" w:cstheme="majorHAnsi"/>
          <w:bCs/>
          <w:color w:val="000000"/>
          <w:sz w:val="18"/>
          <w:szCs w:val="18"/>
        </w:rPr>
        <w:t>Hier zitten geen elementen in die van belang zijn voor vuurwerk</w:t>
      </w:r>
      <w:r>
        <w:rPr>
          <w:rFonts w:asciiTheme="majorHAnsi" w:hAnsiTheme="majorHAnsi" w:cstheme="majorHAnsi"/>
          <w:bCs/>
          <w:color w:val="000000"/>
          <w:sz w:val="18"/>
          <w:szCs w:val="18"/>
        </w:rPr>
        <w:t xml:space="preserve">, waarschijnlijk is dit een omissie, die aangegeven is aan BZK. Logisch zou zijn om dezelfde elementen als die voor </w:t>
      </w:r>
      <w:proofErr w:type="spellStart"/>
      <w:r>
        <w:rPr>
          <w:rFonts w:asciiTheme="majorHAnsi" w:hAnsiTheme="majorHAnsi" w:cstheme="majorHAnsi"/>
          <w:bCs/>
          <w:color w:val="000000"/>
          <w:sz w:val="18"/>
          <w:szCs w:val="18"/>
        </w:rPr>
        <w:t>Bkl</w:t>
      </w:r>
      <w:proofErr w:type="spellEnd"/>
      <w:r>
        <w:rPr>
          <w:rFonts w:asciiTheme="majorHAnsi" w:hAnsiTheme="majorHAnsi" w:cstheme="majorHAnsi"/>
          <w:bCs/>
          <w:color w:val="000000"/>
          <w:sz w:val="18"/>
          <w:szCs w:val="18"/>
        </w:rPr>
        <w:t xml:space="preserve">, bijlage VII-activiteiten worden gevraagd, ook voor de bijlage VIII te vragen. </w:t>
      </w:r>
    </w:p>
    <w:p w14:paraId="5FA2519F" w14:textId="77777777" w:rsidR="00CF21DB" w:rsidRPr="0043498C" w:rsidRDefault="00CF21DB" w:rsidP="007849CC">
      <w:pPr>
        <w:autoSpaceDE w:val="0"/>
        <w:autoSpaceDN w:val="0"/>
        <w:adjustRightInd w:val="0"/>
        <w:spacing w:after="0" w:line="276" w:lineRule="auto"/>
        <w:rPr>
          <w:rFonts w:asciiTheme="majorHAnsi" w:hAnsiTheme="majorHAnsi" w:cstheme="majorHAnsi"/>
          <w:b/>
          <w:bCs/>
          <w:color w:val="000000"/>
          <w:sz w:val="18"/>
          <w:szCs w:val="18"/>
        </w:rPr>
      </w:pPr>
    </w:p>
    <w:p w14:paraId="71222816" w14:textId="77777777" w:rsidR="006842D3" w:rsidRPr="0043498C" w:rsidRDefault="006842D3" w:rsidP="007849CC">
      <w:pPr>
        <w:autoSpaceDE w:val="0"/>
        <w:autoSpaceDN w:val="0"/>
        <w:adjustRightInd w:val="0"/>
        <w:spacing w:after="0" w:line="276" w:lineRule="auto"/>
        <w:rPr>
          <w:rFonts w:asciiTheme="majorHAnsi" w:hAnsiTheme="majorHAnsi" w:cstheme="majorHAnsi"/>
          <w:color w:val="000000"/>
          <w:sz w:val="18"/>
          <w:szCs w:val="18"/>
        </w:rPr>
      </w:pPr>
      <w:proofErr w:type="spellStart"/>
      <w:r w:rsidRPr="0043498C">
        <w:rPr>
          <w:rFonts w:asciiTheme="majorHAnsi" w:hAnsiTheme="majorHAnsi" w:cstheme="majorHAnsi"/>
          <w:b/>
          <w:bCs/>
          <w:color w:val="000000"/>
          <w:sz w:val="18"/>
          <w:szCs w:val="18"/>
        </w:rPr>
        <w:t>Bkl</w:t>
      </w:r>
      <w:proofErr w:type="spellEnd"/>
      <w:r w:rsidRPr="0043498C">
        <w:rPr>
          <w:rFonts w:asciiTheme="majorHAnsi" w:hAnsiTheme="majorHAnsi" w:cstheme="majorHAnsi"/>
          <w:b/>
          <w:bCs/>
          <w:color w:val="000000"/>
          <w:sz w:val="18"/>
          <w:szCs w:val="18"/>
        </w:rPr>
        <w:t xml:space="preserve">, Artikel 10.3 (gegevensverzameling milieubelastende activiteit, anders dan mijnbouw, basisnet en buisleidingen met gevaarlijke stoffen) </w:t>
      </w:r>
    </w:p>
    <w:p w14:paraId="4668C057" w14:textId="77777777" w:rsidR="006842D3" w:rsidRPr="0043498C" w:rsidRDefault="006842D3" w:rsidP="007849CC">
      <w:pPr>
        <w:autoSpaceDE w:val="0"/>
        <w:autoSpaceDN w:val="0"/>
        <w:adjustRightInd w:val="0"/>
        <w:spacing w:after="0" w:line="276" w:lineRule="auto"/>
        <w:rPr>
          <w:rFonts w:asciiTheme="majorHAnsi" w:hAnsiTheme="majorHAnsi" w:cstheme="majorHAnsi"/>
          <w:color w:val="000000"/>
          <w:sz w:val="18"/>
          <w:szCs w:val="18"/>
        </w:rPr>
      </w:pPr>
      <w:r w:rsidRPr="0043498C">
        <w:rPr>
          <w:rFonts w:asciiTheme="majorHAnsi" w:hAnsiTheme="majorHAnsi" w:cstheme="majorHAnsi"/>
          <w:color w:val="000000"/>
          <w:sz w:val="18"/>
          <w:szCs w:val="18"/>
        </w:rPr>
        <w:t xml:space="preserve">Het bevoegd gezag, bedoeld in artikel 10.1, onder a, verzamelt de volgende gegevens: </w:t>
      </w:r>
    </w:p>
    <w:p w14:paraId="3BA79642" w14:textId="77777777" w:rsidR="008D18D7" w:rsidRPr="0043498C" w:rsidRDefault="008D18D7" w:rsidP="007849CC">
      <w:pPr>
        <w:spacing w:after="0" w:line="276" w:lineRule="auto"/>
        <w:rPr>
          <w:rFonts w:asciiTheme="majorHAnsi" w:hAnsiTheme="majorHAnsi" w:cstheme="majorHAnsi"/>
          <w:sz w:val="18"/>
          <w:szCs w:val="18"/>
        </w:rPr>
      </w:pPr>
      <w:r w:rsidRPr="0043498C">
        <w:rPr>
          <w:rFonts w:asciiTheme="majorHAnsi" w:hAnsiTheme="majorHAnsi" w:cstheme="majorHAnsi"/>
          <w:sz w:val="18"/>
          <w:szCs w:val="18"/>
        </w:rPr>
        <w:t>[…]</w:t>
      </w:r>
    </w:p>
    <w:p w14:paraId="273C34D9" w14:textId="77777777" w:rsidR="008D18D7" w:rsidRPr="0043498C" w:rsidRDefault="008D18D7" w:rsidP="007849CC">
      <w:pPr>
        <w:spacing w:after="0" w:line="276" w:lineRule="auto"/>
        <w:rPr>
          <w:rFonts w:asciiTheme="majorHAnsi" w:hAnsiTheme="majorHAnsi" w:cstheme="majorHAnsi"/>
          <w:color w:val="FF0000"/>
          <w:sz w:val="18"/>
          <w:szCs w:val="18"/>
        </w:rPr>
      </w:pPr>
      <w:r w:rsidRPr="0043498C">
        <w:rPr>
          <w:rFonts w:asciiTheme="majorHAnsi" w:hAnsiTheme="majorHAnsi" w:cstheme="majorHAnsi"/>
          <w:color w:val="FF0000"/>
          <w:sz w:val="18"/>
          <w:szCs w:val="18"/>
        </w:rPr>
        <w:t>h. de ligging van een explosieaandachtsgebied vuurwerk als bedoeld in artikel 5.23;</w:t>
      </w:r>
    </w:p>
    <w:p w14:paraId="4BC43EA0" w14:textId="77777777" w:rsidR="00E6322E" w:rsidRPr="0043498C" w:rsidRDefault="008D18D7" w:rsidP="007849CC">
      <w:pPr>
        <w:spacing w:after="0" w:line="276" w:lineRule="auto"/>
        <w:rPr>
          <w:rFonts w:asciiTheme="majorHAnsi" w:hAnsiTheme="majorHAnsi" w:cstheme="majorHAnsi"/>
          <w:sz w:val="18"/>
          <w:szCs w:val="18"/>
        </w:rPr>
      </w:pPr>
      <w:r w:rsidRPr="0043498C">
        <w:rPr>
          <w:rFonts w:asciiTheme="majorHAnsi" w:hAnsiTheme="majorHAnsi" w:cstheme="majorHAnsi"/>
          <w:sz w:val="18"/>
          <w:szCs w:val="18"/>
        </w:rPr>
        <w:t>[…]</w:t>
      </w:r>
    </w:p>
    <w:p w14:paraId="42A35924" w14:textId="77777777" w:rsidR="00CF21DB" w:rsidRPr="0043498C" w:rsidRDefault="00CF21DB" w:rsidP="00CF21DB">
      <w:pPr>
        <w:autoSpaceDE w:val="0"/>
        <w:autoSpaceDN w:val="0"/>
        <w:adjustRightInd w:val="0"/>
        <w:spacing w:after="0" w:line="240" w:lineRule="auto"/>
        <w:rPr>
          <w:rFonts w:asciiTheme="majorHAnsi" w:hAnsiTheme="majorHAnsi" w:cstheme="majorHAnsi"/>
          <w:b/>
          <w:bCs/>
          <w:color w:val="000000"/>
          <w:sz w:val="18"/>
          <w:szCs w:val="18"/>
        </w:rPr>
      </w:pPr>
    </w:p>
    <w:p w14:paraId="0F9F8BD4" w14:textId="77777777" w:rsidR="00CF21DB" w:rsidRPr="00CF21DB" w:rsidRDefault="00CF21DB" w:rsidP="00CF21DB">
      <w:pPr>
        <w:autoSpaceDE w:val="0"/>
        <w:autoSpaceDN w:val="0"/>
        <w:adjustRightInd w:val="0"/>
        <w:spacing w:after="0" w:line="240" w:lineRule="auto"/>
        <w:rPr>
          <w:rFonts w:asciiTheme="majorHAnsi" w:hAnsiTheme="majorHAnsi" w:cstheme="majorHAnsi"/>
          <w:color w:val="000000"/>
          <w:sz w:val="18"/>
          <w:szCs w:val="18"/>
        </w:rPr>
      </w:pPr>
      <w:r w:rsidRPr="00CF21DB">
        <w:rPr>
          <w:rFonts w:asciiTheme="majorHAnsi" w:hAnsiTheme="majorHAnsi" w:cstheme="majorHAnsi"/>
          <w:b/>
          <w:bCs/>
          <w:color w:val="000000"/>
          <w:sz w:val="18"/>
          <w:szCs w:val="18"/>
        </w:rPr>
        <w:t xml:space="preserve">Artikel 5.23 (explosieaandachtsgebieden vuurwerk) </w:t>
      </w:r>
    </w:p>
    <w:p w14:paraId="76C3FE02" w14:textId="77777777" w:rsidR="008D18D7" w:rsidRPr="0043498C" w:rsidRDefault="00CF21DB" w:rsidP="00CF21DB">
      <w:pPr>
        <w:spacing w:after="0" w:line="276" w:lineRule="auto"/>
        <w:rPr>
          <w:rFonts w:asciiTheme="majorHAnsi" w:hAnsiTheme="majorHAnsi" w:cstheme="majorHAnsi"/>
          <w:b/>
          <w:sz w:val="18"/>
          <w:szCs w:val="18"/>
        </w:rPr>
      </w:pPr>
      <w:r w:rsidRPr="0043498C">
        <w:rPr>
          <w:rFonts w:asciiTheme="majorHAnsi" w:hAnsiTheme="majorHAnsi" w:cstheme="majorHAnsi"/>
          <w:sz w:val="18"/>
          <w:szCs w:val="18"/>
        </w:rPr>
        <w:t xml:space="preserve">Explosieaandachtsgebieden vuurwerk om een activiteit als bedoeld in </w:t>
      </w:r>
      <w:r w:rsidRPr="0043498C">
        <w:rPr>
          <w:rFonts w:asciiTheme="majorHAnsi" w:hAnsiTheme="majorHAnsi" w:cstheme="majorHAnsi"/>
          <w:color w:val="FF0000"/>
          <w:sz w:val="18"/>
          <w:szCs w:val="18"/>
        </w:rPr>
        <w:t>artikel 3.31, eerste lid</w:t>
      </w:r>
      <w:r w:rsidRPr="0043498C">
        <w:rPr>
          <w:rFonts w:asciiTheme="majorHAnsi" w:hAnsiTheme="majorHAnsi" w:cstheme="majorHAnsi"/>
          <w:sz w:val="18"/>
          <w:szCs w:val="18"/>
        </w:rPr>
        <w:t>, van het Besluit activiteiten leefomgeving, zijn de locaties die worden begrensd door de afstanden, bedoeld in bijlage VIII, onder A en B.</w:t>
      </w:r>
    </w:p>
    <w:p w14:paraId="57F48331" w14:textId="77777777" w:rsidR="00027652" w:rsidRPr="0043498C" w:rsidRDefault="00027652" w:rsidP="003E1B6C">
      <w:pPr>
        <w:autoSpaceDE w:val="0"/>
        <w:autoSpaceDN w:val="0"/>
        <w:adjustRightInd w:val="0"/>
        <w:spacing w:after="0" w:line="240" w:lineRule="auto"/>
        <w:rPr>
          <w:rFonts w:asciiTheme="majorHAnsi" w:hAnsiTheme="majorHAnsi" w:cstheme="majorHAnsi"/>
          <w:b/>
          <w:bCs/>
          <w:color w:val="000000"/>
          <w:sz w:val="18"/>
          <w:szCs w:val="18"/>
        </w:rPr>
      </w:pPr>
    </w:p>
    <w:p w14:paraId="5A59E15D" w14:textId="77777777" w:rsidR="00027652" w:rsidRPr="0043498C" w:rsidRDefault="00027652" w:rsidP="003E1B6C">
      <w:pPr>
        <w:autoSpaceDE w:val="0"/>
        <w:autoSpaceDN w:val="0"/>
        <w:adjustRightInd w:val="0"/>
        <w:spacing w:after="0" w:line="240" w:lineRule="auto"/>
        <w:rPr>
          <w:rFonts w:asciiTheme="majorHAnsi" w:hAnsiTheme="majorHAnsi" w:cstheme="majorHAnsi"/>
          <w:b/>
          <w:bCs/>
          <w:color w:val="000000"/>
          <w:sz w:val="18"/>
          <w:szCs w:val="18"/>
        </w:rPr>
      </w:pPr>
      <w:r w:rsidRPr="0043498C">
        <w:rPr>
          <w:rFonts w:asciiTheme="majorHAnsi" w:hAnsiTheme="majorHAnsi" w:cstheme="majorHAnsi"/>
          <w:b/>
          <w:bCs/>
          <w:color w:val="000000"/>
          <w:sz w:val="18"/>
          <w:szCs w:val="18"/>
        </w:rPr>
        <w:t>Bal</w:t>
      </w:r>
    </w:p>
    <w:p w14:paraId="4527A293" w14:textId="77777777" w:rsidR="003E1B6C" w:rsidRPr="003E1B6C" w:rsidRDefault="003E1B6C" w:rsidP="003E1B6C">
      <w:pPr>
        <w:autoSpaceDE w:val="0"/>
        <w:autoSpaceDN w:val="0"/>
        <w:adjustRightInd w:val="0"/>
        <w:spacing w:after="0" w:line="240" w:lineRule="auto"/>
        <w:rPr>
          <w:rFonts w:asciiTheme="majorHAnsi" w:hAnsiTheme="majorHAnsi" w:cstheme="majorHAnsi"/>
          <w:color w:val="000000"/>
          <w:sz w:val="18"/>
          <w:szCs w:val="18"/>
        </w:rPr>
      </w:pPr>
      <w:r w:rsidRPr="003E1B6C">
        <w:rPr>
          <w:rFonts w:asciiTheme="majorHAnsi" w:hAnsiTheme="majorHAnsi" w:cstheme="majorHAnsi"/>
          <w:b/>
          <w:bCs/>
          <w:color w:val="000000"/>
          <w:sz w:val="18"/>
          <w:szCs w:val="18"/>
        </w:rPr>
        <w:lastRenderedPageBreak/>
        <w:t xml:space="preserve">Artikel 3.31 (aanwijzing </w:t>
      </w:r>
      <w:proofErr w:type="spellStart"/>
      <w:r w:rsidRPr="003E1B6C">
        <w:rPr>
          <w:rFonts w:asciiTheme="majorHAnsi" w:hAnsiTheme="majorHAnsi" w:cstheme="majorHAnsi"/>
          <w:b/>
          <w:bCs/>
          <w:color w:val="000000"/>
          <w:sz w:val="18"/>
          <w:szCs w:val="18"/>
        </w:rPr>
        <w:t>vergunningplichtige</w:t>
      </w:r>
      <w:proofErr w:type="spellEnd"/>
      <w:r w:rsidRPr="003E1B6C">
        <w:rPr>
          <w:rFonts w:asciiTheme="majorHAnsi" w:hAnsiTheme="majorHAnsi" w:cstheme="majorHAnsi"/>
          <w:b/>
          <w:bCs/>
          <w:color w:val="000000"/>
          <w:sz w:val="18"/>
          <w:szCs w:val="18"/>
        </w:rPr>
        <w:t xml:space="preserve"> gevallen) </w:t>
      </w:r>
    </w:p>
    <w:p w14:paraId="1C94A990" w14:textId="77777777" w:rsidR="003E1B6C" w:rsidRPr="003E1B6C" w:rsidRDefault="003E1B6C" w:rsidP="003E1B6C">
      <w:pPr>
        <w:autoSpaceDE w:val="0"/>
        <w:autoSpaceDN w:val="0"/>
        <w:adjustRightInd w:val="0"/>
        <w:spacing w:after="0" w:line="240" w:lineRule="auto"/>
        <w:rPr>
          <w:rFonts w:asciiTheme="majorHAnsi" w:hAnsiTheme="majorHAnsi" w:cstheme="majorHAnsi"/>
          <w:color w:val="000000"/>
          <w:sz w:val="18"/>
          <w:szCs w:val="18"/>
        </w:rPr>
      </w:pPr>
      <w:r w:rsidRPr="003E1B6C">
        <w:rPr>
          <w:rFonts w:asciiTheme="majorHAnsi" w:hAnsiTheme="majorHAnsi" w:cstheme="majorHAnsi"/>
          <w:color w:val="000000"/>
          <w:sz w:val="18"/>
          <w:szCs w:val="18"/>
        </w:rPr>
        <w:t xml:space="preserve">1. Het verbod, bedoeld in artikel 5.1, tweede lid, van de wet, om zonder omgevingsvergunning een milieubelastende activiteit te verrichten, geldt voor de milieubelastende activiteiten, bedoeld in </w:t>
      </w:r>
      <w:r w:rsidRPr="00032F06">
        <w:rPr>
          <w:rFonts w:asciiTheme="majorHAnsi" w:hAnsiTheme="majorHAnsi" w:cstheme="majorHAnsi"/>
          <w:color w:val="FF0000"/>
          <w:sz w:val="18"/>
          <w:szCs w:val="18"/>
        </w:rPr>
        <w:t>artikel 3.30</w:t>
      </w:r>
      <w:r w:rsidRPr="003E1B6C">
        <w:rPr>
          <w:rFonts w:asciiTheme="majorHAnsi" w:hAnsiTheme="majorHAnsi" w:cstheme="majorHAnsi"/>
          <w:color w:val="000000"/>
          <w:sz w:val="18"/>
          <w:szCs w:val="18"/>
        </w:rPr>
        <w:t xml:space="preserve">, voor zover het gaat om het opslaan, </w:t>
      </w:r>
      <w:proofErr w:type="spellStart"/>
      <w:r w:rsidRPr="003E1B6C">
        <w:rPr>
          <w:rFonts w:asciiTheme="majorHAnsi" w:hAnsiTheme="majorHAnsi" w:cstheme="majorHAnsi"/>
          <w:color w:val="000000"/>
          <w:sz w:val="18"/>
          <w:szCs w:val="18"/>
        </w:rPr>
        <w:t>herverpakken</w:t>
      </w:r>
      <w:proofErr w:type="spellEnd"/>
      <w:r w:rsidRPr="003E1B6C">
        <w:rPr>
          <w:rFonts w:asciiTheme="majorHAnsi" w:hAnsiTheme="majorHAnsi" w:cstheme="majorHAnsi"/>
          <w:color w:val="000000"/>
          <w:sz w:val="18"/>
          <w:szCs w:val="18"/>
        </w:rPr>
        <w:t xml:space="preserve"> of bewerken van: </w:t>
      </w:r>
    </w:p>
    <w:p w14:paraId="0E39A9B8" w14:textId="77777777" w:rsidR="003E1B6C" w:rsidRPr="003E1B6C" w:rsidRDefault="003E1B6C" w:rsidP="003E1B6C">
      <w:pPr>
        <w:autoSpaceDE w:val="0"/>
        <w:autoSpaceDN w:val="0"/>
        <w:adjustRightInd w:val="0"/>
        <w:spacing w:after="0" w:line="240" w:lineRule="auto"/>
        <w:rPr>
          <w:rFonts w:asciiTheme="majorHAnsi" w:hAnsiTheme="majorHAnsi" w:cstheme="majorHAnsi"/>
          <w:color w:val="000000"/>
          <w:sz w:val="18"/>
          <w:szCs w:val="18"/>
        </w:rPr>
      </w:pPr>
      <w:r w:rsidRPr="003E1B6C">
        <w:rPr>
          <w:rFonts w:asciiTheme="majorHAnsi" w:hAnsiTheme="majorHAnsi" w:cstheme="majorHAnsi"/>
          <w:color w:val="000000"/>
          <w:sz w:val="18"/>
          <w:szCs w:val="18"/>
        </w:rPr>
        <w:t xml:space="preserve">a. meer dan 25 kg pyrotechnische artikelen voor theatergebruik van categorie T1 of T2; </w:t>
      </w:r>
    </w:p>
    <w:p w14:paraId="5530B85B" w14:textId="77777777" w:rsidR="003E1B6C" w:rsidRPr="003E1B6C" w:rsidRDefault="003E1B6C" w:rsidP="003E1B6C">
      <w:pPr>
        <w:autoSpaceDE w:val="0"/>
        <w:autoSpaceDN w:val="0"/>
        <w:adjustRightInd w:val="0"/>
        <w:spacing w:after="0" w:line="240" w:lineRule="auto"/>
        <w:rPr>
          <w:rFonts w:asciiTheme="majorHAnsi" w:hAnsiTheme="majorHAnsi" w:cstheme="majorHAnsi"/>
          <w:color w:val="000000"/>
          <w:sz w:val="18"/>
          <w:szCs w:val="18"/>
        </w:rPr>
      </w:pPr>
      <w:r w:rsidRPr="003E1B6C">
        <w:rPr>
          <w:rFonts w:asciiTheme="majorHAnsi" w:hAnsiTheme="majorHAnsi" w:cstheme="majorHAnsi"/>
          <w:color w:val="000000"/>
          <w:sz w:val="18"/>
          <w:szCs w:val="18"/>
        </w:rPr>
        <w:t xml:space="preserve">b. meer dan 10.000 kg vuurwerk van categorie F1, F2 of F3; </w:t>
      </w:r>
    </w:p>
    <w:p w14:paraId="491D63F5" w14:textId="77777777" w:rsidR="003E1B6C" w:rsidRPr="003E1B6C" w:rsidRDefault="003E1B6C" w:rsidP="003E1B6C">
      <w:pPr>
        <w:autoSpaceDE w:val="0"/>
        <w:autoSpaceDN w:val="0"/>
        <w:adjustRightInd w:val="0"/>
        <w:spacing w:after="0" w:line="240" w:lineRule="auto"/>
        <w:rPr>
          <w:rFonts w:asciiTheme="majorHAnsi" w:hAnsiTheme="majorHAnsi" w:cstheme="majorHAnsi"/>
          <w:color w:val="000000"/>
          <w:sz w:val="18"/>
          <w:szCs w:val="18"/>
        </w:rPr>
      </w:pPr>
      <w:r w:rsidRPr="003E1B6C">
        <w:rPr>
          <w:rFonts w:asciiTheme="majorHAnsi" w:hAnsiTheme="majorHAnsi" w:cstheme="majorHAnsi"/>
          <w:color w:val="000000"/>
          <w:sz w:val="18"/>
          <w:szCs w:val="18"/>
        </w:rPr>
        <w:t xml:space="preserve">c. vuurwerk van categorie F4; of </w:t>
      </w:r>
    </w:p>
    <w:p w14:paraId="0790933C" w14:textId="77777777" w:rsidR="003E1B6C" w:rsidRPr="003E1B6C" w:rsidRDefault="003E1B6C" w:rsidP="003E1B6C">
      <w:pPr>
        <w:autoSpaceDE w:val="0"/>
        <w:autoSpaceDN w:val="0"/>
        <w:adjustRightInd w:val="0"/>
        <w:spacing w:after="0" w:line="240" w:lineRule="auto"/>
        <w:rPr>
          <w:rFonts w:asciiTheme="majorHAnsi" w:hAnsiTheme="majorHAnsi" w:cstheme="majorHAnsi"/>
          <w:color w:val="000000"/>
          <w:sz w:val="18"/>
          <w:szCs w:val="18"/>
        </w:rPr>
      </w:pPr>
      <w:r w:rsidRPr="003E1B6C">
        <w:rPr>
          <w:rFonts w:asciiTheme="majorHAnsi" w:hAnsiTheme="majorHAnsi" w:cstheme="majorHAnsi"/>
          <w:color w:val="000000"/>
          <w:sz w:val="18"/>
          <w:szCs w:val="18"/>
        </w:rPr>
        <w:t xml:space="preserve">d. ander vuurwerk dan vuurwerk dat op grond van artikel 2.1.1 van het Vuurwerkbesluit is aangewezen als vuurwerk dat ter beschikking mag worden gesteld voor particulier gebruik. </w:t>
      </w:r>
    </w:p>
    <w:p w14:paraId="506D277B" w14:textId="77777777" w:rsidR="003E1B6C" w:rsidRPr="0043498C" w:rsidRDefault="003E1B6C" w:rsidP="003E1B6C">
      <w:pPr>
        <w:spacing w:line="276" w:lineRule="auto"/>
        <w:rPr>
          <w:rFonts w:asciiTheme="majorHAnsi" w:hAnsiTheme="majorHAnsi" w:cstheme="majorHAnsi"/>
          <w:b/>
          <w:sz w:val="18"/>
          <w:szCs w:val="18"/>
        </w:rPr>
      </w:pPr>
      <w:r w:rsidRPr="0043498C">
        <w:rPr>
          <w:rFonts w:asciiTheme="majorHAnsi" w:hAnsiTheme="majorHAnsi" w:cstheme="majorHAnsi"/>
          <w:color w:val="000000"/>
          <w:sz w:val="18"/>
          <w:szCs w:val="18"/>
        </w:rPr>
        <w:t>2. Voor het bepalen van het gewicht wordt uitgegaan van het vuurwerk of van de pyrotechnische artikelen voor theatergebruik met omhulsel en verpakking, maar zonder de transportverpakking, bedoeld in de ADR.</w:t>
      </w:r>
    </w:p>
    <w:p w14:paraId="06908CDA" w14:textId="77777777" w:rsidR="00032F06" w:rsidRPr="00032F06" w:rsidRDefault="00032F06" w:rsidP="00032F06">
      <w:pPr>
        <w:autoSpaceDE w:val="0"/>
        <w:autoSpaceDN w:val="0"/>
        <w:adjustRightInd w:val="0"/>
        <w:spacing w:after="0" w:line="240" w:lineRule="auto"/>
        <w:rPr>
          <w:rFonts w:asciiTheme="majorHAnsi" w:eastAsiaTheme="minorHAnsi" w:hAnsiTheme="majorHAnsi" w:cstheme="majorHAnsi"/>
          <w:color w:val="000000"/>
          <w:sz w:val="18"/>
          <w:szCs w:val="18"/>
          <w:lang w:eastAsia="en-US"/>
        </w:rPr>
      </w:pPr>
      <w:r w:rsidRPr="00032F06">
        <w:rPr>
          <w:rFonts w:asciiTheme="majorHAnsi" w:eastAsiaTheme="minorHAnsi" w:hAnsiTheme="majorHAnsi" w:cstheme="majorHAnsi"/>
          <w:b/>
          <w:bCs/>
          <w:color w:val="000000"/>
          <w:sz w:val="18"/>
          <w:szCs w:val="18"/>
          <w:lang w:eastAsia="en-US"/>
        </w:rPr>
        <w:t xml:space="preserve">Artikel 3.30 (aanwijzing milieubelastende activiteiten) </w:t>
      </w:r>
    </w:p>
    <w:p w14:paraId="727841A3" w14:textId="77777777" w:rsidR="00032F06" w:rsidRPr="00032F06" w:rsidRDefault="00032F06" w:rsidP="00032F06">
      <w:pPr>
        <w:autoSpaceDE w:val="0"/>
        <w:autoSpaceDN w:val="0"/>
        <w:adjustRightInd w:val="0"/>
        <w:spacing w:after="0" w:line="240" w:lineRule="auto"/>
        <w:rPr>
          <w:rFonts w:asciiTheme="majorHAnsi" w:eastAsiaTheme="minorHAnsi" w:hAnsiTheme="majorHAnsi" w:cstheme="majorHAnsi"/>
          <w:color w:val="000000"/>
          <w:sz w:val="18"/>
          <w:szCs w:val="18"/>
          <w:lang w:eastAsia="en-US"/>
        </w:rPr>
      </w:pPr>
      <w:r w:rsidRPr="00032F06">
        <w:rPr>
          <w:rFonts w:asciiTheme="majorHAnsi" w:eastAsiaTheme="minorHAnsi" w:hAnsiTheme="majorHAnsi" w:cstheme="majorHAnsi"/>
          <w:color w:val="000000"/>
          <w:sz w:val="18"/>
          <w:szCs w:val="18"/>
          <w:lang w:eastAsia="en-US"/>
        </w:rPr>
        <w:t xml:space="preserve">1. Als milieubelastende activiteiten als bedoeld in artikel 2.1 worden aangewezen het opslaan, </w:t>
      </w:r>
      <w:proofErr w:type="spellStart"/>
      <w:r w:rsidRPr="00032F06">
        <w:rPr>
          <w:rFonts w:asciiTheme="majorHAnsi" w:eastAsiaTheme="minorHAnsi" w:hAnsiTheme="majorHAnsi" w:cstheme="majorHAnsi"/>
          <w:color w:val="000000"/>
          <w:sz w:val="18"/>
          <w:szCs w:val="18"/>
          <w:lang w:eastAsia="en-US"/>
        </w:rPr>
        <w:t>herverpakken</w:t>
      </w:r>
      <w:proofErr w:type="spellEnd"/>
      <w:r w:rsidRPr="00032F06">
        <w:rPr>
          <w:rFonts w:asciiTheme="majorHAnsi" w:eastAsiaTheme="minorHAnsi" w:hAnsiTheme="majorHAnsi" w:cstheme="majorHAnsi"/>
          <w:color w:val="000000"/>
          <w:sz w:val="18"/>
          <w:szCs w:val="18"/>
          <w:lang w:eastAsia="en-US"/>
        </w:rPr>
        <w:t xml:space="preserve"> en bewerken van vuurwerk of pyrotechnische artikelen voor theatergebruik. </w:t>
      </w:r>
    </w:p>
    <w:p w14:paraId="0A7AFE22" w14:textId="77777777" w:rsidR="00032F06" w:rsidRPr="00032F06" w:rsidRDefault="00032F06" w:rsidP="00032F06">
      <w:pPr>
        <w:autoSpaceDE w:val="0"/>
        <w:autoSpaceDN w:val="0"/>
        <w:adjustRightInd w:val="0"/>
        <w:spacing w:after="0" w:line="240" w:lineRule="auto"/>
        <w:rPr>
          <w:rFonts w:asciiTheme="majorHAnsi" w:eastAsiaTheme="minorHAnsi" w:hAnsiTheme="majorHAnsi" w:cstheme="majorHAnsi"/>
          <w:color w:val="000000"/>
          <w:sz w:val="18"/>
          <w:szCs w:val="18"/>
          <w:lang w:eastAsia="en-US"/>
        </w:rPr>
      </w:pPr>
      <w:r w:rsidRPr="00032F06">
        <w:rPr>
          <w:rFonts w:asciiTheme="majorHAnsi" w:eastAsiaTheme="minorHAnsi" w:hAnsiTheme="majorHAnsi" w:cstheme="majorHAnsi"/>
          <w:color w:val="000000"/>
          <w:sz w:val="18"/>
          <w:szCs w:val="18"/>
          <w:lang w:eastAsia="en-US"/>
        </w:rPr>
        <w:t xml:space="preserve">2. Onder de aanwijzing valt niet het opslaan, </w:t>
      </w:r>
      <w:proofErr w:type="spellStart"/>
      <w:r w:rsidRPr="00032F06">
        <w:rPr>
          <w:rFonts w:asciiTheme="majorHAnsi" w:eastAsiaTheme="minorHAnsi" w:hAnsiTheme="majorHAnsi" w:cstheme="majorHAnsi"/>
          <w:color w:val="000000"/>
          <w:sz w:val="18"/>
          <w:szCs w:val="18"/>
          <w:lang w:eastAsia="en-US"/>
        </w:rPr>
        <w:t>herverpakken</w:t>
      </w:r>
      <w:proofErr w:type="spellEnd"/>
      <w:r w:rsidRPr="00032F06">
        <w:rPr>
          <w:rFonts w:asciiTheme="majorHAnsi" w:eastAsiaTheme="minorHAnsi" w:hAnsiTheme="majorHAnsi" w:cstheme="majorHAnsi"/>
          <w:color w:val="000000"/>
          <w:sz w:val="18"/>
          <w:szCs w:val="18"/>
          <w:lang w:eastAsia="en-US"/>
        </w:rPr>
        <w:t xml:space="preserve"> of bewerken van: </w:t>
      </w:r>
    </w:p>
    <w:p w14:paraId="2B7411D4" w14:textId="77777777" w:rsidR="00032F06" w:rsidRPr="00032F06" w:rsidRDefault="00032F06" w:rsidP="00032F06">
      <w:pPr>
        <w:autoSpaceDE w:val="0"/>
        <w:autoSpaceDN w:val="0"/>
        <w:adjustRightInd w:val="0"/>
        <w:spacing w:after="0" w:line="240" w:lineRule="auto"/>
        <w:rPr>
          <w:rFonts w:asciiTheme="majorHAnsi" w:eastAsiaTheme="minorHAnsi" w:hAnsiTheme="majorHAnsi" w:cstheme="majorHAnsi"/>
          <w:color w:val="000000"/>
          <w:sz w:val="18"/>
          <w:szCs w:val="18"/>
          <w:lang w:eastAsia="en-US"/>
        </w:rPr>
      </w:pPr>
      <w:r w:rsidRPr="00032F06">
        <w:rPr>
          <w:rFonts w:asciiTheme="majorHAnsi" w:eastAsiaTheme="minorHAnsi" w:hAnsiTheme="majorHAnsi" w:cstheme="majorHAnsi"/>
          <w:color w:val="000000"/>
          <w:sz w:val="18"/>
          <w:szCs w:val="18"/>
          <w:lang w:eastAsia="en-US"/>
        </w:rPr>
        <w:t xml:space="preserve">a. minder dan 200 kg in totaal van vuurwerk van categorie F1 en fop- en schertsvuurwerk als bedoeld in artikel 1.1.1, eerste lid, van het Vuurwerkbesluit; </w:t>
      </w:r>
    </w:p>
    <w:p w14:paraId="1EDCC3B1" w14:textId="77777777" w:rsidR="00032F06" w:rsidRPr="00032F06" w:rsidRDefault="00032F06" w:rsidP="00032F06">
      <w:pPr>
        <w:autoSpaceDE w:val="0"/>
        <w:autoSpaceDN w:val="0"/>
        <w:adjustRightInd w:val="0"/>
        <w:spacing w:after="0" w:line="240" w:lineRule="auto"/>
        <w:rPr>
          <w:rFonts w:asciiTheme="majorHAnsi" w:eastAsiaTheme="minorHAnsi" w:hAnsiTheme="majorHAnsi" w:cstheme="majorHAnsi"/>
          <w:color w:val="000000"/>
          <w:sz w:val="18"/>
          <w:szCs w:val="18"/>
          <w:lang w:eastAsia="en-US"/>
        </w:rPr>
      </w:pPr>
      <w:r w:rsidRPr="00032F06">
        <w:rPr>
          <w:rFonts w:asciiTheme="majorHAnsi" w:eastAsiaTheme="minorHAnsi" w:hAnsiTheme="majorHAnsi" w:cstheme="majorHAnsi"/>
          <w:color w:val="000000"/>
          <w:sz w:val="18"/>
          <w:szCs w:val="18"/>
          <w:lang w:eastAsia="en-US"/>
        </w:rPr>
        <w:t xml:space="preserve">b. minder dan 25 kg vuurwerk van categorie F2 en F3; of </w:t>
      </w:r>
    </w:p>
    <w:p w14:paraId="164C1054" w14:textId="77777777" w:rsidR="00032F06" w:rsidRPr="00032F06" w:rsidRDefault="00032F06" w:rsidP="00032F06">
      <w:pPr>
        <w:autoSpaceDE w:val="0"/>
        <w:autoSpaceDN w:val="0"/>
        <w:adjustRightInd w:val="0"/>
        <w:spacing w:after="0" w:line="240" w:lineRule="auto"/>
        <w:rPr>
          <w:rFonts w:asciiTheme="majorHAnsi" w:eastAsiaTheme="minorHAnsi" w:hAnsiTheme="majorHAnsi" w:cstheme="majorHAnsi"/>
          <w:color w:val="000000"/>
          <w:sz w:val="18"/>
          <w:szCs w:val="18"/>
          <w:lang w:eastAsia="en-US"/>
        </w:rPr>
      </w:pPr>
      <w:r w:rsidRPr="00032F06">
        <w:rPr>
          <w:rFonts w:asciiTheme="majorHAnsi" w:eastAsiaTheme="minorHAnsi" w:hAnsiTheme="majorHAnsi" w:cstheme="majorHAnsi"/>
          <w:color w:val="000000"/>
          <w:sz w:val="18"/>
          <w:szCs w:val="18"/>
          <w:lang w:eastAsia="en-US"/>
        </w:rPr>
        <w:t xml:space="preserve">c. vuurwerk dat door de krijgsmacht, de politie of de brandweer wordt gebruikt voor instructiedoeleinden. </w:t>
      </w:r>
    </w:p>
    <w:p w14:paraId="7F1B34BD" w14:textId="77777777" w:rsidR="00032F06" w:rsidRPr="00032F06" w:rsidRDefault="00032F06" w:rsidP="00032F06">
      <w:pPr>
        <w:autoSpaceDE w:val="0"/>
        <w:autoSpaceDN w:val="0"/>
        <w:adjustRightInd w:val="0"/>
        <w:spacing w:after="0" w:line="240" w:lineRule="auto"/>
        <w:rPr>
          <w:rFonts w:asciiTheme="majorHAnsi" w:eastAsiaTheme="minorHAnsi" w:hAnsiTheme="majorHAnsi" w:cstheme="majorHAnsi"/>
          <w:color w:val="000000"/>
          <w:sz w:val="18"/>
          <w:szCs w:val="18"/>
          <w:lang w:eastAsia="en-US"/>
        </w:rPr>
      </w:pPr>
      <w:r w:rsidRPr="00032F06">
        <w:rPr>
          <w:rFonts w:asciiTheme="majorHAnsi" w:eastAsiaTheme="minorHAnsi" w:hAnsiTheme="majorHAnsi" w:cstheme="majorHAnsi"/>
          <w:color w:val="000000"/>
          <w:sz w:val="18"/>
          <w:szCs w:val="18"/>
          <w:lang w:eastAsia="en-US"/>
        </w:rPr>
        <w:t xml:space="preserve">3. Onder de aanwijzing valt ook niet het voor het vervoer van goederen, bedoeld in paragraaf 3.8.6, opslaan van vuurwerk of pyrotechnische artikelen voor theatergebruik voor korte tijd en in afwachting van aansluitend vervoer naar een vooraf bekende ontvanger. </w:t>
      </w:r>
    </w:p>
    <w:p w14:paraId="51C328C6" w14:textId="77777777" w:rsidR="00032F06" w:rsidRPr="00032F06" w:rsidRDefault="00032F06" w:rsidP="00032F06">
      <w:pPr>
        <w:spacing w:line="276" w:lineRule="auto"/>
        <w:rPr>
          <w:rFonts w:asciiTheme="majorHAnsi" w:hAnsiTheme="majorHAnsi" w:cstheme="majorHAnsi"/>
          <w:b/>
          <w:sz w:val="18"/>
          <w:szCs w:val="18"/>
        </w:rPr>
      </w:pPr>
      <w:r w:rsidRPr="00032F06">
        <w:rPr>
          <w:rFonts w:asciiTheme="majorHAnsi" w:eastAsiaTheme="minorHAnsi" w:hAnsiTheme="majorHAnsi" w:cstheme="majorHAnsi"/>
          <w:color w:val="000000"/>
          <w:sz w:val="18"/>
          <w:szCs w:val="18"/>
          <w:lang w:eastAsia="en-US"/>
        </w:rPr>
        <w:t>4. Voor het bepalen van het gewicht wordt uitgegaan van het vuurwerk met omhulsel en verpakking, maar zonder de transportverpakking, bedoeld in de ADR.</w:t>
      </w:r>
    </w:p>
    <w:p w14:paraId="47002658" w14:textId="77777777" w:rsidR="006842D3" w:rsidRPr="0043498C" w:rsidRDefault="00E56983" w:rsidP="007849CC">
      <w:pPr>
        <w:spacing w:line="276" w:lineRule="auto"/>
        <w:rPr>
          <w:rFonts w:asciiTheme="majorHAnsi" w:hAnsiTheme="majorHAnsi" w:cstheme="majorHAnsi"/>
          <w:b/>
          <w:sz w:val="18"/>
          <w:szCs w:val="18"/>
        </w:rPr>
      </w:pPr>
      <w:r w:rsidRPr="0043498C">
        <w:rPr>
          <w:rFonts w:asciiTheme="majorHAnsi" w:hAnsiTheme="majorHAnsi" w:cstheme="majorHAnsi"/>
          <w:b/>
          <w:sz w:val="18"/>
          <w:szCs w:val="18"/>
        </w:rPr>
        <w:t>O</w:t>
      </w:r>
      <w:r w:rsidR="00C63B30" w:rsidRPr="0043498C">
        <w:rPr>
          <w:rFonts w:asciiTheme="majorHAnsi" w:hAnsiTheme="majorHAnsi" w:cstheme="majorHAnsi"/>
          <w:b/>
          <w:sz w:val="18"/>
          <w:szCs w:val="18"/>
        </w:rPr>
        <w:t xml:space="preserve">b </w:t>
      </w:r>
    </w:p>
    <w:p w14:paraId="6BCBE5D1" w14:textId="77777777" w:rsidR="00C63B30" w:rsidRPr="0043498C" w:rsidRDefault="00C63B30" w:rsidP="00C63B30">
      <w:pPr>
        <w:pStyle w:val="Default"/>
        <w:rPr>
          <w:rFonts w:asciiTheme="majorHAnsi" w:hAnsiTheme="majorHAnsi" w:cstheme="majorHAnsi"/>
          <w:sz w:val="18"/>
          <w:szCs w:val="18"/>
        </w:rPr>
      </w:pPr>
      <w:r w:rsidRPr="0043498C">
        <w:rPr>
          <w:rFonts w:asciiTheme="majorHAnsi" w:hAnsiTheme="majorHAnsi" w:cstheme="majorHAnsi"/>
          <w:b/>
          <w:bCs/>
          <w:sz w:val="18"/>
          <w:szCs w:val="18"/>
        </w:rPr>
        <w:t xml:space="preserve">Artikel 10.27 (gegevensverstrekking externe veiligheidsrisico’s) </w:t>
      </w:r>
    </w:p>
    <w:p w14:paraId="083C79B1" w14:textId="77777777" w:rsidR="00C63B30" w:rsidRPr="0043498C" w:rsidRDefault="00C63B30" w:rsidP="007849CC">
      <w:pPr>
        <w:spacing w:line="276" w:lineRule="auto"/>
        <w:rPr>
          <w:rFonts w:asciiTheme="majorHAnsi" w:hAnsiTheme="majorHAnsi" w:cstheme="majorHAnsi"/>
          <w:b/>
          <w:sz w:val="18"/>
          <w:szCs w:val="18"/>
        </w:rPr>
      </w:pPr>
      <w:r w:rsidRPr="0043498C">
        <w:rPr>
          <w:rFonts w:asciiTheme="majorHAnsi" w:hAnsiTheme="majorHAnsi" w:cstheme="majorHAnsi"/>
          <w:sz w:val="18"/>
          <w:szCs w:val="18"/>
        </w:rPr>
        <w:t xml:space="preserve">1. De bestuursorganen, bedoeld in artikel 10.1 van het Besluit kwaliteit leefomgeving, verstrekken de gegevens over externe veiligheid, bedoeld in de artikelen 10.2, </w:t>
      </w:r>
      <w:r w:rsidRPr="0043498C">
        <w:rPr>
          <w:rFonts w:asciiTheme="majorHAnsi" w:hAnsiTheme="majorHAnsi" w:cstheme="majorHAnsi"/>
          <w:color w:val="FF0000"/>
          <w:sz w:val="18"/>
          <w:szCs w:val="18"/>
        </w:rPr>
        <w:t>10.3</w:t>
      </w:r>
      <w:r w:rsidRPr="0043498C">
        <w:rPr>
          <w:rFonts w:asciiTheme="majorHAnsi" w:hAnsiTheme="majorHAnsi" w:cstheme="majorHAnsi"/>
          <w:sz w:val="18"/>
          <w:szCs w:val="18"/>
        </w:rPr>
        <w:t>, 10.4, 10.6 en 10.7 van dat besluit, aan Onze Minister van Infrastructuur en Waterstaat binnen de volgende termijn: (zie verder art. 10.27)</w:t>
      </w:r>
    </w:p>
    <w:p w14:paraId="13152B08" w14:textId="77777777" w:rsidR="009B00D2" w:rsidRDefault="009B00D2">
      <w:pPr>
        <w:rPr>
          <w:rFonts w:asciiTheme="majorHAnsi" w:eastAsiaTheme="majorEastAsia" w:hAnsiTheme="majorHAnsi" w:cstheme="majorBidi"/>
          <w:color w:val="2E74B5" w:themeColor="accent1" w:themeShade="BF"/>
          <w:sz w:val="26"/>
          <w:szCs w:val="26"/>
          <w:lang w:eastAsia="en-US"/>
        </w:rPr>
      </w:pPr>
      <w:r>
        <w:br w:type="page"/>
      </w:r>
    </w:p>
    <w:p w14:paraId="2E20A06F" w14:textId="77777777" w:rsidR="006842D3" w:rsidRDefault="006842D3" w:rsidP="007849CC">
      <w:pPr>
        <w:pStyle w:val="Heading2"/>
        <w:spacing w:line="276" w:lineRule="auto"/>
        <w:rPr>
          <w:rFonts w:eastAsiaTheme="minorEastAsia"/>
          <w:lang w:val="nl-NL" w:eastAsia="nl-NL"/>
        </w:rPr>
      </w:pPr>
      <w:r w:rsidRPr="007E6D47">
        <w:rPr>
          <w:lang w:val="nl-NL"/>
        </w:rPr>
        <w:lastRenderedPageBreak/>
        <w:t xml:space="preserve">Afstanden </w:t>
      </w:r>
      <w:r w:rsidR="009E6710">
        <w:rPr>
          <w:rFonts w:eastAsiaTheme="minorEastAsia"/>
          <w:lang w:val="nl-NL" w:eastAsia="nl-NL"/>
        </w:rPr>
        <w:t>voor ‘</w:t>
      </w:r>
      <w:r w:rsidR="00A0724C">
        <w:rPr>
          <w:rFonts w:eastAsiaTheme="minorEastAsia"/>
          <w:lang w:val="nl-NL" w:eastAsia="nl-NL"/>
        </w:rPr>
        <w:t>Explosieaandachtsgebied vuurwerk</w:t>
      </w:r>
      <w:r w:rsidR="009E6710">
        <w:rPr>
          <w:rFonts w:eastAsiaTheme="minorEastAsia"/>
          <w:lang w:val="nl-NL" w:eastAsia="nl-NL"/>
        </w:rPr>
        <w:t>’</w:t>
      </w:r>
      <w:r w:rsidR="00B70DF6">
        <w:rPr>
          <w:rFonts w:eastAsiaTheme="minorEastAsia"/>
          <w:lang w:val="nl-NL" w:eastAsia="nl-NL"/>
        </w:rPr>
        <w:t xml:space="preserve">, </w:t>
      </w:r>
      <w:proofErr w:type="spellStart"/>
      <w:r w:rsidR="00B70DF6">
        <w:rPr>
          <w:rFonts w:eastAsiaTheme="minorEastAsia"/>
          <w:lang w:val="nl-NL" w:eastAsia="nl-NL"/>
        </w:rPr>
        <w:t>Bkl</w:t>
      </w:r>
      <w:proofErr w:type="spellEnd"/>
      <w:r w:rsidR="00B70DF6">
        <w:rPr>
          <w:rFonts w:eastAsiaTheme="minorEastAsia"/>
          <w:lang w:val="nl-NL" w:eastAsia="nl-NL"/>
        </w:rPr>
        <w:t xml:space="preserve">, </w:t>
      </w:r>
      <w:r w:rsidR="00CF21DB">
        <w:rPr>
          <w:rFonts w:eastAsiaTheme="minorEastAsia"/>
          <w:lang w:val="nl-NL" w:eastAsia="nl-NL"/>
        </w:rPr>
        <w:t xml:space="preserve">bijlage VIII onder A </w:t>
      </w:r>
      <w:r w:rsidR="00027652">
        <w:rPr>
          <w:rFonts w:eastAsiaTheme="minorEastAsia"/>
          <w:lang w:val="nl-NL" w:eastAsia="nl-NL"/>
        </w:rPr>
        <w:t>en B</w:t>
      </w:r>
    </w:p>
    <w:p w14:paraId="34B78396" w14:textId="77777777" w:rsidR="0043498C" w:rsidRDefault="0043498C" w:rsidP="007849CC">
      <w:pPr>
        <w:autoSpaceDE w:val="0"/>
        <w:autoSpaceDN w:val="0"/>
        <w:adjustRightInd w:val="0"/>
        <w:spacing w:after="0" w:line="276" w:lineRule="auto"/>
        <w:rPr>
          <w:rFonts w:cstheme="minorHAnsi"/>
          <w:b/>
          <w:bCs/>
          <w:sz w:val="18"/>
          <w:szCs w:val="18"/>
        </w:rPr>
      </w:pPr>
    </w:p>
    <w:p w14:paraId="7F3FF358" w14:textId="77777777" w:rsidR="00027652" w:rsidRPr="00027652" w:rsidRDefault="0043498C" w:rsidP="007849CC">
      <w:pPr>
        <w:autoSpaceDE w:val="0"/>
        <w:autoSpaceDN w:val="0"/>
        <w:adjustRightInd w:val="0"/>
        <w:spacing w:after="0" w:line="276" w:lineRule="auto"/>
        <w:rPr>
          <w:rFonts w:cstheme="minorHAnsi"/>
          <w:b/>
          <w:bCs/>
          <w:color w:val="FF0000"/>
          <w:sz w:val="18"/>
          <w:szCs w:val="18"/>
        </w:rPr>
      </w:pPr>
      <w:r w:rsidRPr="00027652">
        <w:rPr>
          <w:rFonts w:cstheme="minorHAnsi"/>
          <w:b/>
          <w:bCs/>
          <w:color w:val="000000"/>
          <w:sz w:val="18"/>
          <w:szCs w:val="18"/>
        </w:rPr>
        <w:t xml:space="preserve">A. Explosieaandachtsgebied vuurwerk voor opslag van categorie F4 </w:t>
      </w:r>
    </w:p>
    <w:tbl>
      <w:tblPr>
        <w:tblW w:w="9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225"/>
      </w:tblGrid>
      <w:tr w:rsidR="00027652" w:rsidRPr="00027652" w14:paraId="163EA1D4" w14:textId="77777777" w:rsidTr="0043498C">
        <w:trPr>
          <w:trHeight w:val="324"/>
        </w:trPr>
        <w:tc>
          <w:tcPr>
            <w:tcW w:w="5812" w:type="dxa"/>
          </w:tcPr>
          <w:p w14:paraId="53677FB6" w14:textId="77777777" w:rsidR="00027652" w:rsidRPr="00027652" w:rsidRDefault="0043498C" w:rsidP="0043498C">
            <w:pPr>
              <w:autoSpaceDE w:val="0"/>
              <w:autoSpaceDN w:val="0"/>
              <w:adjustRightInd w:val="0"/>
              <w:spacing w:after="0" w:line="240" w:lineRule="auto"/>
              <w:rPr>
                <w:rFonts w:cstheme="minorHAnsi"/>
                <w:color w:val="000000"/>
                <w:sz w:val="18"/>
                <w:szCs w:val="18"/>
              </w:rPr>
            </w:pPr>
            <w:r w:rsidRPr="00027652">
              <w:rPr>
                <w:rFonts w:cstheme="minorHAnsi"/>
                <w:b/>
                <w:bCs/>
                <w:color w:val="000000"/>
                <w:sz w:val="18"/>
                <w:szCs w:val="18"/>
              </w:rPr>
              <w:t>Hoeveelheid vuurwerk (NEM in kg)</w:t>
            </w:r>
          </w:p>
        </w:tc>
        <w:tc>
          <w:tcPr>
            <w:tcW w:w="3225" w:type="dxa"/>
          </w:tcPr>
          <w:p w14:paraId="449B55FD" w14:textId="77777777" w:rsidR="00027652" w:rsidRPr="00027652" w:rsidRDefault="00027652" w:rsidP="0043498C">
            <w:pPr>
              <w:autoSpaceDE w:val="0"/>
              <w:autoSpaceDN w:val="0"/>
              <w:adjustRightInd w:val="0"/>
              <w:spacing w:after="0" w:line="240" w:lineRule="auto"/>
              <w:jc w:val="center"/>
              <w:rPr>
                <w:rFonts w:cstheme="minorHAnsi"/>
                <w:color w:val="000000"/>
                <w:sz w:val="18"/>
                <w:szCs w:val="18"/>
              </w:rPr>
            </w:pPr>
            <w:r w:rsidRPr="00027652">
              <w:rPr>
                <w:rFonts w:cstheme="minorHAnsi"/>
                <w:b/>
                <w:bCs/>
                <w:color w:val="000000"/>
                <w:sz w:val="18"/>
                <w:szCs w:val="18"/>
              </w:rPr>
              <w:t>Afstand vanaf bewaarplaats en bewerkingsruimte (in m)</w:t>
            </w:r>
          </w:p>
        </w:tc>
      </w:tr>
      <w:tr w:rsidR="00027652" w:rsidRPr="00027652" w14:paraId="7FBC3B97" w14:textId="77777777" w:rsidTr="0043498C">
        <w:trPr>
          <w:trHeight w:val="158"/>
        </w:trPr>
        <w:tc>
          <w:tcPr>
            <w:tcW w:w="5812" w:type="dxa"/>
          </w:tcPr>
          <w:p w14:paraId="7BD31076" w14:textId="77777777" w:rsidR="00027652" w:rsidRPr="00027652" w:rsidRDefault="00027652" w:rsidP="00027652">
            <w:pPr>
              <w:autoSpaceDE w:val="0"/>
              <w:autoSpaceDN w:val="0"/>
              <w:adjustRightInd w:val="0"/>
              <w:spacing w:after="0" w:line="240" w:lineRule="auto"/>
              <w:rPr>
                <w:rFonts w:cstheme="minorHAnsi"/>
                <w:color w:val="000000"/>
                <w:sz w:val="18"/>
                <w:szCs w:val="18"/>
              </w:rPr>
            </w:pPr>
            <w:r w:rsidRPr="00027652">
              <w:rPr>
                <w:rFonts w:cstheme="minorHAnsi"/>
                <w:color w:val="000000"/>
                <w:sz w:val="18"/>
                <w:szCs w:val="18"/>
              </w:rPr>
              <w:t xml:space="preserve">0 tot en met 750 </w:t>
            </w:r>
          </w:p>
        </w:tc>
        <w:tc>
          <w:tcPr>
            <w:tcW w:w="3225" w:type="dxa"/>
          </w:tcPr>
          <w:p w14:paraId="6B2B85E3" w14:textId="77777777" w:rsidR="00027652" w:rsidRPr="00027652" w:rsidRDefault="00027652" w:rsidP="0043498C">
            <w:pPr>
              <w:autoSpaceDE w:val="0"/>
              <w:autoSpaceDN w:val="0"/>
              <w:adjustRightInd w:val="0"/>
              <w:spacing w:after="0" w:line="240" w:lineRule="auto"/>
              <w:jc w:val="center"/>
              <w:rPr>
                <w:rFonts w:cstheme="minorHAnsi"/>
                <w:color w:val="000000"/>
                <w:sz w:val="18"/>
                <w:szCs w:val="18"/>
              </w:rPr>
            </w:pPr>
            <w:r w:rsidRPr="00027652">
              <w:rPr>
                <w:rFonts w:cstheme="minorHAnsi"/>
                <w:color w:val="000000"/>
                <w:sz w:val="18"/>
                <w:szCs w:val="18"/>
              </w:rPr>
              <w:t>400</w:t>
            </w:r>
          </w:p>
        </w:tc>
      </w:tr>
      <w:tr w:rsidR="00027652" w:rsidRPr="00027652" w14:paraId="0A45C338" w14:textId="77777777" w:rsidTr="0043498C">
        <w:trPr>
          <w:trHeight w:val="158"/>
        </w:trPr>
        <w:tc>
          <w:tcPr>
            <w:tcW w:w="5812" w:type="dxa"/>
          </w:tcPr>
          <w:p w14:paraId="7346FFDF" w14:textId="77777777" w:rsidR="00027652" w:rsidRPr="00027652" w:rsidRDefault="00027652" w:rsidP="00027652">
            <w:pPr>
              <w:autoSpaceDE w:val="0"/>
              <w:autoSpaceDN w:val="0"/>
              <w:adjustRightInd w:val="0"/>
              <w:spacing w:after="0" w:line="240" w:lineRule="auto"/>
              <w:rPr>
                <w:rFonts w:cstheme="minorHAnsi"/>
                <w:color w:val="000000"/>
                <w:sz w:val="18"/>
                <w:szCs w:val="18"/>
              </w:rPr>
            </w:pPr>
            <w:r w:rsidRPr="00027652">
              <w:rPr>
                <w:rFonts w:cstheme="minorHAnsi"/>
                <w:color w:val="000000"/>
                <w:sz w:val="18"/>
                <w:szCs w:val="18"/>
              </w:rPr>
              <w:t xml:space="preserve">750 tot en met 6.000 </w:t>
            </w:r>
          </w:p>
        </w:tc>
        <w:tc>
          <w:tcPr>
            <w:tcW w:w="3225" w:type="dxa"/>
          </w:tcPr>
          <w:p w14:paraId="05D2FD22" w14:textId="77777777" w:rsidR="00027652" w:rsidRPr="00027652" w:rsidRDefault="00027652" w:rsidP="0043498C">
            <w:pPr>
              <w:autoSpaceDE w:val="0"/>
              <w:autoSpaceDN w:val="0"/>
              <w:adjustRightInd w:val="0"/>
              <w:spacing w:after="0" w:line="240" w:lineRule="auto"/>
              <w:jc w:val="center"/>
              <w:rPr>
                <w:rFonts w:cstheme="minorHAnsi"/>
                <w:color w:val="000000"/>
                <w:sz w:val="18"/>
                <w:szCs w:val="18"/>
              </w:rPr>
            </w:pPr>
            <w:r w:rsidRPr="00027652">
              <w:rPr>
                <w:rFonts w:cstheme="minorHAnsi"/>
                <w:color w:val="000000"/>
                <w:sz w:val="18"/>
                <w:szCs w:val="18"/>
              </w:rPr>
              <w:t>800</w:t>
            </w:r>
          </w:p>
        </w:tc>
      </w:tr>
    </w:tbl>
    <w:p w14:paraId="315EE1DC" w14:textId="77777777" w:rsidR="00027652" w:rsidRPr="00027652" w:rsidRDefault="00027652" w:rsidP="00027652">
      <w:pPr>
        <w:autoSpaceDE w:val="0"/>
        <w:autoSpaceDN w:val="0"/>
        <w:adjustRightInd w:val="0"/>
        <w:spacing w:after="0" w:line="276" w:lineRule="auto"/>
        <w:rPr>
          <w:rFonts w:cstheme="minorHAnsi"/>
          <w:b/>
          <w:bCs/>
          <w:color w:val="FF0000"/>
          <w:sz w:val="18"/>
          <w:szCs w:val="18"/>
        </w:rPr>
      </w:pPr>
    </w:p>
    <w:p w14:paraId="200B7656" w14:textId="77777777" w:rsidR="009B00D2" w:rsidRDefault="009B00D2" w:rsidP="009B00D2">
      <w:pPr>
        <w:autoSpaceDE w:val="0"/>
        <w:autoSpaceDN w:val="0"/>
        <w:adjustRightInd w:val="0"/>
        <w:spacing w:after="0" w:line="240" w:lineRule="auto"/>
        <w:rPr>
          <w:rFonts w:cstheme="minorHAnsi"/>
          <w:color w:val="000000"/>
          <w:sz w:val="18"/>
          <w:szCs w:val="18"/>
        </w:rPr>
      </w:pPr>
      <w:r w:rsidRPr="00027652">
        <w:rPr>
          <w:rFonts w:cstheme="minorHAnsi"/>
          <w:b/>
          <w:bCs/>
          <w:color w:val="000000"/>
          <w:sz w:val="18"/>
          <w:szCs w:val="18"/>
        </w:rPr>
        <w:t>B. Explosieaandachtsgebied vuurwerk voor opslag van categorie F1, F2, F3, of pyrotechnische artikelen voor theatergebruik van categorie T1 of T2 Ruimte</w:t>
      </w:r>
    </w:p>
    <w:p w14:paraId="72C78AAB" w14:textId="77777777" w:rsidR="009B00D2" w:rsidRDefault="009B00D2" w:rsidP="009B00D2">
      <w:pPr>
        <w:autoSpaceDE w:val="0"/>
        <w:autoSpaceDN w:val="0"/>
        <w:adjustRightInd w:val="0"/>
        <w:spacing w:after="0" w:line="240" w:lineRule="auto"/>
        <w:rPr>
          <w:rFonts w:cstheme="minorHAnsi"/>
          <w:color w:val="000000"/>
          <w:sz w:val="18"/>
          <w:szCs w:val="18"/>
        </w:rPr>
      </w:pPr>
    </w:p>
    <w:tbl>
      <w:tblPr>
        <w:tblStyle w:val="TableGrid"/>
        <w:tblW w:w="0" w:type="auto"/>
        <w:tblLook w:val="04A0" w:firstRow="1" w:lastRow="0" w:firstColumn="1" w:lastColumn="0" w:noHBand="0" w:noVBand="1"/>
      </w:tblPr>
      <w:tblGrid>
        <w:gridCol w:w="3256"/>
        <w:gridCol w:w="1559"/>
        <w:gridCol w:w="1276"/>
        <w:gridCol w:w="1417"/>
        <w:gridCol w:w="1508"/>
      </w:tblGrid>
      <w:tr w:rsidR="0043498C" w:rsidRPr="0043498C" w14:paraId="4C8069CB" w14:textId="77777777" w:rsidTr="0043498C">
        <w:tc>
          <w:tcPr>
            <w:tcW w:w="3256" w:type="dxa"/>
          </w:tcPr>
          <w:p w14:paraId="6C1FC29F" w14:textId="77777777" w:rsidR="0043498C" w:rsidRPr="0043498C" w:rsidRDefault="0043498C" w:rsidP="009B00D2">
            <w:pPr>
              <w:autoSpaceDE w:val="0"/>
              <w:autoSpaceDN w:val="0"/>
              <w:adjustRightInd w:val="0"/>
              <w:rPr>
                <w:rFonts w:cstheme="minorHAnsi"/>
                <w:b/>
                <w:color w:val="000000"/>
                <w:sz w:val="18"/>
                <w:szCs w:val="18"/>
              </w:rPr>
            </w:pPr>
            <w:r w:rsidRPr="0043498C">
              <w:rPr>
                <w:rFonts w:cstheme="minorHAnsi"/>
                <w:b/>
                <w:color w:val="000000"/>
                <w:sz w:val="18"/>
                <w:szCs w:val="18"/>
              </w:rPr>
              <w:t>Ruimte</w:t>
            </w:r>
          </w:p>
        </w:tc>
        <w:tc>
          <w:tcPr>
            <w:tcW w:w="1559" w:type="dxa"/>
          </w:tcPr>
          <w:p w14:paraId="197A3B62" w14:textId="77777777" w:rsidR="0043498C" w:rsidRPr="0043498C" w:rsidRDefault="0043498C" w:rsidP="009B00D2">
            <w:pPr>
              <w:autoSpaceDE w:val="0"/>
              <w:autoSpaceDN w:val="0"/>
              <w:adjustRightInd w:val="0"/>
              <w:rPr>
                <w:rFonts w:cstheme="minorHAnsi"/>
                <w:b/>
                <w:color w:val="000000"/>
                <w:sz w:val="18"/>
                <w:szCs w:val="18"/>
              </w:rPr>
            </w:pPr>
            <w:r w:rsidRPr="0043498C">
              <w:rPr>
                <w:rFonts w:cstheme="minorHAnsi"/>
                <w:b/>
                <w:color w:val="000000"/>
                <w:sz w:val="18"/>
                <w:szCs w:val="18"/>
              </w:rPr>
              <w:t>Grootte deuropening</w:t>
            </w:r>
          </w:p>
        </w:tc>
        <w:tc>
          <w:tcPr>
            <w:tcW w:w="4201" w:type="dxa"/>
            <w:gridSpan w:val="3"/>
          </w:tcPr>
          <w:p w14:paraId="0144EE8E" w14:textId="77777777" w:rsidR="0043498C" w:rsidRPr="0043498C" w:rsidRDefault="0043498C" w:rsidP="0043498C">
            <w:pPr>
              <w:autoSpaceDE w:val="0"/>
              <w:autoSpaceDN w:val="0"/>
              <w:adjustRightInd w:val="0"/>
              <w:jc w:val="center"/>
              <w:rPr>
                <w:rFonts w:cstheme="minorHAnsi"/>
                <w:b/>
                <w:color w:val="000000"/>
                <w:sz w:val="18"/>
                <w:szCs w:val="18"/>
              </w:rPr>
            </w:pPr>
            <w:r w:rsidRPr="0043498C">
              <w:rPr>
                <w:rFonts w:cstheme="minorHAnsi"/>
                <w:b/>
                <w:color w:val="000000"/>
                <w:sz w:val="18"/>
                <w:szCs w:val="18"/>
              </w:rPr>
              <w:t>Afstand (in m)</w:t>
            </w:r>
          </w:p>
        </w:tc>
      </w:tr>
      <w:tr w:rsidR="009B00D2" w:rsidRPr="0043498C" w14:paraId="541B4B7C" w14:textId="77777777" w:rsidTr="0043498C">
        <w:tc>
          <w:tcPr>
            <w:tcW w:w="3256" w:type="dxa"/>
          </w:tcPr>
          <w:p w14:paraId="75677107" w14:textId="77777777" w:rsidR="009B00D2" w:rsidRPr="0043498C" w:rsidRDefault="009B00D2" w:rsidP="0043498C">
            <w:pPr>
              <w:autoSpaceDE w:val="0"/>
              <w:autoSpaceDN w:val="0"/>
              <w:adjustRightInd w:val="0"/>
              <w:jc w:val="center"/>
              <w:rPr>
                <w:rFonts w:cstheme="minorHAnsi"/>
                <w:b/>
                <w:color w:val="000000"/>
                <w:sz w:val="18"/>
                <w:szCs w:val="18"/>
              </w:rPr>
            </w:pPr>
          </w:p>
        </w:tc>
        <w:tc>
          <w:tcPr>
            <w:tcW w:w="1559" w:type="dxa"/>
          </w:tcPr>
          <w:p w14:paraId="1C680E82" w14:textId="77777777" w:rsidR="009B00D2" w:rsidRPr="0043498C" w:rsidRDefault="009B00D2" w:rsidP="0043498C">
            <w:pPr>
              <w:autoSpaceDE w:val="0"/>
              <w:autoSpaceDN w:val="0"/>
              <w:adjustRightInd w:val="0"/>
              <w:jc w:val="center"/>
              <w:rPr>
                <w:rFonts w:cstheme="minorHAnsi"/>
                <w:b/>
                <w:color w:val="000000"/>
                <w:sz w:val="18"/>
                <w:szCs w:val="18"/>
              </w:rPr>
            </w:pPr>
          </w:p>
        </w:tc>
        <w:tc>
          <w:tcPr>
            <w:tcW w:w="1276" w:type="dxa"/>
          </w:tcPr>
          <w:p w14:paraId="5F015988" w14:textId="77777777" w:rsidR="009B00D2" w:rsidRPr="0043498C" w:rsidRDefault="009B00D2" w:rsidP="0043498C">
            <w:pPr>
              <w:autoSpaceDE w:val="0"/>
              <w:autoSpaceDN w:val="0"/>
              <w:adjustRightInd w:val="0"/>
              <w:jc w:val="center"/>
              <w:rPr>
                <w:rFonts w:cstheme="minorHAnsi"/>
                <w:b/>
                <w:color w:val="000000"/>
                <w:sz w:val="18"/>
                <w:szCs w:val="18"/>
              </w:rPr>
            </w:pPr>
            <w:proofErr w:type="spellStart"/>
            <w:r w:rsidRPr="0043498C">
              <w:rPr>
                <w:rFonts w:cstheme="minorHAnsi"/>
                <w:b/>
                <w:color w:val="000000"/>
                <w:sz w:val="18"/>
                <w:szCs w:val="18"/>
              </w:rPr>
              <w:t>voorwaarts</w:t>
            </w:r>
            <w:r w:rsidRPr="0043498C">
              <w:rPr>
                <w:rFonts w:cstheme="minorHAnsi"/>
                <w:b/>
                <w:color w:val="000000"/>
                <w:sz w:val="18"/>
                <w:szCs w:val="18"/>
                <w:vertAlign w:val="superscript"/>
              </w:rPr>
              <w:t>a</w:t>
            </w:r>
            <w:proofErr w:type="spellEnd"/>
          </w:p>
        </w:tc>
        <w:tc>
          <w:tcPr>
            <w:tcW w:w="1417" w:type="dxa"/>
          </w:tcPr>
          <w:p w14:paraId="51D49B1C" w14:textId="77777777" w:rsidR="009B00D2" w:rsidRPr="0043498C" w:rsidRDefault="009B00D2" w:rsidP="0043498C">
            <w:pPr>
              <w:autoSpaceDE w:val="0"/>
              <w:autoSpaceDN w:val="0"/>
              <w:adjustRightInd w:val="0"/>
              <w:jc w:val="center"/>
              <w:rPr>
                <w:rFonts w:cstheme="minorHAnsi"/>
                <w:b/>
                <w:color w:val="000000"/>
                <w:sz w:val="18"/>
                <w:szCs w:val="18"/>
              </w:rPr>
            </w:pPr>
            <w:proofErr w:type="spellStart"/>
            <w:r w:rsidRPr="0043498C">
              <w:rPr>
                <w:rFonts w:cstheme="minorHAnsi"/>
                <w:b/>
                <w:color w:val="000000"/>
                <w:sz w:val="18"/>
                <w:szCs w:val="18"/>
              </w:rPr>
              <w:t>zijwaarts</w:t>
            </w:r>
            <w:r w:rsidRPr="0043498C">
              <w:rPr>
                <w:rFonts w:cstheme="minorHAnsi"/>
                <w:b/>
                <w:color w:val="000000"/>
                <w:sz w:val="18"/>
                <w:szCs w:val="18"/>
                <w:vertAlign w:val="superscript"/>
              </w:rPr>
              <w:t>b</w:t>
            </w:r>
            <w:proofErr w:type="spellEnd"/>
          </w:p>
        </w:tc>
        <w:tc>
          <w:tcPr>
            <w:tcW w:w="1508" w:type="dxa"/>
          </w:tcPr>
          <w:p w14:paraId="644F5FCE" w14:textId="77777777" w:rsidR="009B00D2" w:rsidRPr="0043498C" w:rsidRDefault="009B00D2" w:rsidP="0043498C">
            <w:pPr>
              <w:autoSpaceDE w:val="0"/>
              <w:autoSpaceDN w:val="0"/>
              <w:adjustRightInd w:val="0"/>
              <w:jc w:val="center"/>
              <w:rPr>
                <w:rFonts w:cstheme="minorHAnsi"/>
                <w:b/>
                <w:color w:val="000000"/>
                <w:sz w:val="18"/>
                <w:szCs w:val="18"/>
              </w:rPr>
            </w:pPr>
            <w:proofErr w:type="spellStart"/>
            <w:r w:rsidRPr="0043498C">
              <w:rPr>
                <w:rFonts w:cstheme="minorHAnsi"/>
                <w:b/>
                <w:color w:val="000000"/>
                <w:sz w:val="18"/>
                <w:szCs w:val="18"/>
              </w:rPr>
              <w:t>achterwaarts</w:t>
            </w:r>
            <w:r w:rsidRPr="0043498C">
              <w:rPr>
                <w:rFonts w:cstheme="minorHAnsi"/>
                <w:b/>
                <w:color w:val="000000"/>
                <w:sz w:val="18"/>
                <w:szCs w:val="18"/>
                <w:vertAlign w:val="superscript"/>
              </w:rPr>
              <w:t>c</w:t>
            </w:r>
            <w:proofErr w:type="spellEnd"/>
          </w:p>
        </w:tc>
      </w:tr>
      <w:tr w:rsidR="009B00D2" w14:paraId="51F3CCBB" w14:textId="77777777" w:rsidTr="0043498C">
        <w:tc>
          <w:tcPr>
            <w:tcW w:w="3256" w:type="dxa"/>
          </w:tcPr>
          <w:p w14:paraId="362BB23C" w14:textId="77777777" w:rsidR="009B00D2" w:rsidRDefault="009B00D2" w:rsidP="009B00D2">
            <w:pPr>
              <w:autoSpaceDE w:val="0"/>
              <w:autoSpaceDN w:val="0"/>
              <w:adjustRightInd w:val="0"/>
              <w:rPr>
                <w:rFonts w:cstheme="minorHAnsi"/>
                <w:color w:val="000000"/>
                <w:sz w:val="18"/>
                <w:szCs w:val="18"/>
              </w:rPr>
            </w:pPr>
            <w:r>
              <w:rPr>
                <w:rFonts w:cstheme="minorHAnsi"/>
                <w:color w:val="000000"/>
                <w:sz w:val="18"/>
                <w:szCs w:val="18"/>
              </w:rPr>
              <w:t>bewaarplaats</w:t>
            </w:r>
          </w:p>
        </w:tc>
        <w:tc>
          <w:tcPr>
            <w:tcW w:w="1559" w:type="dxa"/>
          </w:tcPr>
          <w:p w14:paraId="456167A3" w14:textId="77777777" w:rsidR="009B00D2" w:rsidRDefault="009B00D2" w:rsidP="0043498C">
            <w:pPr>
              <w:autoSpaceDE w:val="0"/>
              <w:autoSpaceDN w:val="0"/>
              <w:adjustRightInd w:val="0"/>
              <w:jc w:val="center"/>
              <w:rPr>
                <w:rFonts w:cstheme="minorHAnsi"/>
                <w:color w:val="000000"/>
                <w:sz w:val="18"/>
                <w:szCs w:val="18"/>
              </w:rPr>
            </w:pPr>
            <w:r w:rsidRPr="00027652">
              <w:rPr>
                <w:rFonts w:cstheme="minorHAnsi"/>
                <w:color w:val="000000"/>
                <w:sz w:val="18"/>
                <w:szCs w:val="18"/>
              </w:rPr>
              <w:t>≤ 4 m2</w:t>
            </w:r>
          </w:p>
        </w:tc>
        <w:tc>
          <w:tcPr>
            <w:tcW w:w="1276" w:type="dxa"/>
          </w:tcPr>
          <w:p w14:paraId="44D1A8C3" w14:textId="77777777" w:rsidR="009B00D2" w:rsidRDefault="009B00D2" w:rsidP="0043498C">
            <w:pPr>
              <w:autoSpaceDE w:val="0"/>
              <w:autoSpaceDN w:val="0"/>
              <w:adjustRightInd w:val="0"/>
              <w:jc w:val="center"/>
              <w:rPr>
                <w:rFonts w:cstheme="minorHAnsi"/>
                <w:color w:val="000000"/>
                <w:sz w:val="18"/>
                <w:szCs w:val="18"/>
              </w:rPr>
            </w:pPr>
            <w:r>
              <w:rPr>
                <w:rFonts w:cstheme="minorHAnsi"/>
                <w:color w:val="000000"/>
                <w:sz w:val="18"/>
                <w:szCs w:val="18"/>
              </w:rPr>
              <w:t>20</w:t>
            </w:r>
          </w:p>
        </w:tc>
        <w:tc>
          <w:tcPr>
            <w:tcW w:w="1417" w:type="dxa"/>
          </w:tcPr>
          <w:p w14:paraId="3A4424CB" w14:textId="77777777" w:rsidR="009B00D2" w:rsidRDefault="009B00D2" w:rsidP="0043498C">
            <w:pPr>
              <w:autoSpaceDE w:val="0"/>
              <w:autoSpaceDN w:val="0"/>
              <w:adjustRightInd w:val="0"/>
              <w:jc w:val="center"/>
              <w:rPr>
                <w:rFonts w:cstheme="minorHAnsi"/>
                <w:color w:val="000000"/>
                <w:sz w:val="18"/>
                <w:szCs w:val="18"/>
              </w:rPr>
            </w:pPr>
            <w:r>
              <w:rPr>
                <w:rFonts w:cstheme="minorHAnsi"/>
                <w:color w:val="000000"/>
                <w:sz w:val="18"/>
                <w:szCs w:val="18"/>
              </w:rPr>
              <w:t>Geen</w:t>
            </w:r>
          </w:p>
        </w:tc>
        <w:tc>
          <w:tcPr>
            <w:tcW w:w="1508" w:type="dxa"/>
          </w:tcPr>
          <w:p w14:paraId="6344656C" w14:textId="77777777" w:rsidR="009B00D2" w:rsidRDefault="009B00D2" w:rsidP="0043498C">
            <w:pPr>
              <w:autoSpaceDE w:val="0"/>
              <w:autoSpaceDN w:val="0"/>
              <w:adjustRightInd w:val="0"/>
              <w:jc w:val="center"/>
              <w:rPr>
                <w:rFonts w:cstheme="minorHAnsi"/>
                <w:color w:val="000000"/>
                <w:sz w:val="18"/>
                <w:szCs w:val="18"/>
              </w:rPr>
            </w:pPr>
            <w:r>
              <w:rPr>
                <w:rFonts w:cstheme="minorHAnsi"/>
                <w:color w:val="000000"/>
                <w:sz w:val="18"/>
                <w:szCs w:val="18"/>
              </w:rPr>
              <w:t>geen</w:t>
            </w:r>
          </w:p>
        </w:tc>
      </w:tr>
      <w:tr w:rsidR="009B00D2" w14:paraId="3ADD8A90" w14:textId="77777777" w:rsidTr="0043498C">
        <w:tc>
          <w:tcPr>
            <w:tcW w:w="3256" w:type="dxa"/>
          </w:tcPr>
          <w:p w14:paraId="1101FC60" w14:textId="77777777" w:rsidR="009B00D2" w:rsidRDefault="009B00D2" w:rsidP="009B00D2">
            <w:pPr>
              <w:autoSpaceDE w:val="0"/>
              <w:autoSpaceDN w:val="0"/>
              <w:adjustRightInd w:val="0"/>
              <w:rPr>
                <w:rFonts w:cstheme="minorHAnsi"/>
                <w:color w:val="000000"/>
                <w:sz w:val="18"/>
                <w:szCs w:val="18"/>
              </w:rPr>
            </w:pPr>
          </w:p>
        </w:tc>
        <w:tc>
          <w:tcPr>
            <w:tcW w:w="1559" w:type="dxa"/>
          </w:tcPr>
          <w:p w14:paraId="143BAB92" w14:textId="77777777" w:rsidR="009B00D2" w:rsidRDefault="009B00D2" w:rsidP="0043498C">
            <w:pPr>
              <w:autoSpaceDE w:val="0"/>
              <w:autoSpaceDN w:val="0"/>
              <w:adjustRightInd w:val="0"/>
              <w:jc w:val="center"/>
              <w:rPr>
                <w:rFonts w:cstheme="minorHAnsi"/>
                <w:color w:val="000000"/>
                <w:sz w:val="18"/>
                <w:szCs w:val="18"/>
              </w:rPr>
            </w:pPr>
            <w:r>
              <w:rPr>
                <w:rFonts w:cstheme="minorHAnsi"/>
                <w:color w:val="000000"/>
                <w:sz w:val="18"/>
                <w:szCs w:val="18"/>
              </w:rPr>
              <w:t>4 m2 t/m 6 m2</w:t>
            </w:r>
          </w:p>
        </w:tc>
        <w:tc>
          <w:tcPr>
            <w:tcW w:w="1276" w:type="dxa"/>
          </w:tcPr>
          <w:p w14:paraId="5031B876" w14:textId="77777777" w:rsidR="009B00D2" w:rsidRDefault="009B00D2" w:rsidP="0043498C">
            <w:pPr>
              <w:autoSpaceDE w:val="0"/>
              <w:autoSpaceDN w:val="0"/>
              <w:adjustRightInd w:val="0"/>
              <w:jc w:val="center"/>
              <w:rPr>
                <w:rFonts w:cstheme="minorHAnsi"/>
                <w:color w:val="000000"/>
                <w:sz w:val="18"/>
                <w:szCs w:val="18"/>
              </w:rPr>
            </w:pPr>
            <w:r>
              <w:rPr>
                <w:rFonts w:cstheme="minorHAnsi"/>
                <w:color w:val="000000"/>
                <w:sz w:val="18"/>
                <w:szCs w:val="18"/>
              </w:rPr>
              <w:t>25</w:t>
            </w:r>
          </w:p>
        </w:tc>
        <w:tc>
          <w:tcPr>
            <w:tcW w:w="1417" w:type="dxa"/>
          </w:tcPr>
          <w:p w14:paraId="1E7E5818" w14:textId="77777777" w:rsidR="009B00D2" w:rsidRDefault="009B00D2" w:rsidP="0043498C">
            <w:pPr>
              <w:autoSpaceDE w:val="0"/>
              <w:autoSpaceDN w:val="0"/>
              <w:adjustRightInd w:val="0"/>
              <w:jc w:val="center"/>
              <w:rPr>
                <w:rFonts w:cstheme="minorHAnsi"/>
                <w:color w:val="000000"/>
                <w:sz w:val="18"/>
                <w:szCs w:val="18"/>
              </w:rPr>
            </w:pPr>
            <w:r>
              <w:rPr>
                <w:rFonts w:cstheme="minorHAnsi"/>
                <w:color w:val="000000"/>
                <w:sz w:val="18"/>
                <w:szCs w:val="18"/>
              </w:rPr>
              <w:t>Geen</w:t>
            </w:r>
          </w:p>
        </w:tc>
        <w:tc>
          <w:tcPr>
            <w:tcW w:w="1508" w:type="dxa"/>
          </w:tcPr>
          <w:p w14:paraId="7006404C" w14:textId="77777777" w:rsidR="009B00D2" w:rsidRDefault="009B00D2" w:rsidP="0043498C">
            <w:pPr>
              <w:autoSpaceDE w:val="0"/>
              <w:autoSpaceDN w:val="0"/>
              <w:adjustRightInd w:val="0"/>
              <w:jc w:val="center"/>
              <w:rPr>
                <w:rFonts w:cstheme="minorHAnsi"/>
                <w:color w:val="000000"/>
                <w:sz w:val="18"/>
                <w:szCs w:val="18"/>
              </w:rPr>
            </w:pPr>
            <w:r>
              <w:rPr>
                <w:rFonts w:cstheme="minorHAnsi"/>
                <w:color w:val="000000"/>
                <w:sz w:val="18"/>
                <w:szCs w:val="18"/>
              </w:rPr>
              <w:t>Geen</w:t>
            </w:r>
          </w:p>
        </w:tc>
      </w:tr>
      <w:tr w:rsidR="009B00D2" w14:paraId="661C9951" w14:textId="77777777" w:rsidTr="0043498C">
        <w:tc>
          <w:tcPr>
            <w:tcW w:w="3256" w:type="dxa"/>
          </w:tcPr>
          <w:p w14:paraId="60197FF7" w14:textId="77777777" w:rsidR="009B00D2" w:rsidRDefault="009B00D2" w:rsidP="009B00D2">
            <w:pPr>
              <w:autoSpaceDE w:val="0"/>
              <w:autoSpaceDN w:val="0"/>
              <w:adjustRightInd w:val="0"/>
              <w:rPr>
                <w:rFonts w:cstheme="minorHAnsi"/>
                <w:color w:val="000000"/>
                <w:sz w:val="18"/>
                <w:szCs w:val="18"/>
              </w:rPr>
            </w:pPr>
          </w:p>
        </w:tc>
        <w:tc>
          <w:tcPr>
            <w:tcW w:w="1559" w:type="dxa"/>
          </w:tcPr>
          <w:p w14:paraId="4D4F15C6" w14:textId="77777777" w:rsidR="009B00D2" w:rsidRDefault="009B00D2" w:rsidP="0043498C">
            <w:pPr>
              <w:autoSpaceDE w:val="0"/>
              <w:autoSpaceDN w:val="0"/>
              <w:adjustRightInd w:val="0"/>
              <w:jc w:val="center"/>
              <w:rPr>
                <w:rFonts w:cstheme="minorHAnsi"/>
                <w:color w:val="000000"/>
                <w:sz w:val="18"/>
                <w:szCs w:val="18"/>
              </w:rPr>
            </w:pPr>
            <w:r>
              <w:rPr>
                <w:rFonts w:cstheme="minorHAnsi"/>
                <w:color w:val="000000"/>
                <w:sz w:val="18"/>
                <w:szCs w:val="18"/>
              </w:rPr>
              <w:t>6 m2 t/m 8 m2</w:t>
            </w:r>
          </w:p>
        </w:tc>
        <w:tc>
          <w:tcPr>
            <w:tcW w:w="1276" w:type="dxa"/>
          </w:tcPr>
          <w:p w14:paraId="6E032E1C" w14:textId="77777777" w:rsidR="009B00D2" w:rsidRDefault="009B00D2" w:rsidP="0043498C">
            <w:pPr>
              <w:autoSpaceDE w:val="0"/>
              <w:autoSpaceDN w:val="0"/>
              <w:adjustRightInd w:val="0"/>
              <w:jc w:val="center"/>
              <w:rPr>
                <w:rFonts w:cstheme="minorHAnsi"/>
                <w:color w:val="000000"/>
                <w:sz w:val="18"/>
                <w:szCs w:val="18"/>
              </w:rPr>
            </w:pPr>
            <w:r>
              <w:rPr>
                <w:rFonts w:cstheme="minorHAnsi"/>
                <w:color w:val="000000"/>
                <w:sz w:val="18"/>
                <w:szCs w:val="18"/>
              </w:rPr>
              <w:t>30</w:t>
            </w:r>
          </w:p>
        </w:tc>
        <w:tc>
          <w:tcPr>
            <w:tcW w:w="1417" w:type="dxa"/>
          </w:tcPr>
          <w:p w14:paraId="0B0CD891" w14:textId="77777777" w:rsidR="009B00D2" w:rsidRDefault="009B00D2" w:rsidP="0043498C">
            <w:pPr>
              <w:autoSpaceDE w:val="0"/>
              <w:autoSpaceDN w:val="0"/>
              <w:adjustRightInd w:val="0"/>
              <w:jc w:val="center"/>
              <w:rPr>
                <w:rFonts w:cstheme="minorHAnsi"/>
                <w:color w:val="000000"/>
                <w:sz w:val="18"/>
                <w:szCs w:val="18"/>
              </w:rPr>
            </w:pPr>
            <w:r>
              <w:rPr>
                <w:rFonts w:cstheme="minorHAnsi"/>
                <w:color w:val="000000"/>
                <w:sz w:val="18"/>
                <w:szCs w:val="18"/>
              </w:rPr>
              <w:t>geen</w:t>
            </w:r>
          </w:p>
        </w:tc>
        <w:tc>
          <w:tcPr>
            <w:tcW w:w="1508" w:type="dxa"/>
          </w:tcPr>
          <w:p w14:paraId="06DCF7D7" w14:textId="77777777" w:rsidR="009B00D2" w:rsidRDefault="009B00D2" w:rsidP="0043498C">
            <w:pPr>
              <w:autoSpaceDE w:val="0"/>
              <w:autoSpaceDN w:val="0"/>
              <w:adjustRightInd w:val="0"/>
              <w:jc w:val="center"/>
              <w:rPr>
                <w:rFonts w:cstheme="minorHAnsi"/>
                <w:color w:val="000000"/>
                <w:sz w:val="18"/>
                <w:szCs w:val="18"/>
              </w:rPr>
            </w:pPr>
            <w:r>
              <w:rPr>
                <w:rFonts w:cstheme="minorHAnsi"/>
                <w:color w:val="000000"/>
                <w:sz w:val="18"/>
                <w:szCs w:val="18"/>
              </w:rPr>
              <w:t>Geen</w:t>
            </w:r>
          </w:p>
        </w:tc>
      </w:tr>
      <w:tr w:rsidR="009B00D2" w14:paraId="1A088176" w14:textId="77777777" w:rsidTr="0043498C">
        <w:tc>
          <w:tcPr>
            <w:tcW w:w="3256" w:type="dxa"/>
          </w:tcPr>
          <w:p w14:paraId="7232AAB0" w14:textId="77777777" w:rsidR="009B00D2" w:rsidRDefault="009B00D2" w:rsidP="009B00D2">
            <w:pPr>
              <w:autoSpaceDE w:val="0"/>
              <w:autoSpaceDN w:val="0"/>
              <w:adjustRightInd w:val="0"/>
              <w:rPr>
                <w:rFonts w:cstheme="minorHAnsi"/>
                <w:color w:val="000000"/>
                <w:sz w:val="18"/>
                <w:szCs w:val="18"/>
              </w:rPr>
            </w:pPr>
            <w:r w:rsidRPr="00027652">
              <w:rPr>
                <w:rFonts w:cstheme="minorHAnsi"/>
                <w:color w:val="000000"/>
                <w:sz w:val="18"/>
                <w:szCs w:val="18"/>
              </w:rPr>
              <w:t>bufferbewaarplaats ≤ 500 kg</w:t>
            </w:r>
          </w:p>
        </w:tc>
        <w:tc>
          <w:tcPr>
            <w:tcW w:w="1559" w:type="dxa"/>
          </w:tcPr>
          <w:p w14:paraId="1CCB2238" w14:textId="77777777" w:rsidR="009B00D2" w:rsidRDefault="009B00D2" w:rsidP="0043498C">
            <w:pPr>
              <w:autoSpaceDE w:val="0"/>
              <w:autoSpaceDN w:val="0"/>
              <w:adjustRightInd w:val="0"/>
              <w:jc w:val="center"/>
              <w:rPr>
                <w:rFonts w:cstheme="minorHAnsi"/>
                <w:color w:val="000000"/>
                <w:sz w:val="18"/>
                <w:szCs w:val="18"/>
              </w:rPr>
            </w:pPr>
            <w:r>
              <w:rPr>
                <w:rFonts w:cstheme="minorHAnsi"/>
                <w:color w:val="000000"/>
                <w:sz w:val="18"/>
                <w:szCs w:val="18"/>
              </w:rPr>
              <w:t>Alle</w:t>
            </w:r>
          </w:p>
        </w:tc>
        <w:tc>
          <w:tcPr>
            <w:tcW w:w="1276" w:type="dxa"/>
          </w:tcPr>
          <w:p w14:paraId="37EC709F" w14:textId="77777777" w:rsidR="009B00D2" w:rsidRDefault="0043498C" w:rsidP="0043498C">
            <w:pPr>
              <w:autoSpaceDE w:val="0"/>
              <w:autoSpaceDN w:val="0"/>
              <w:adjustRightInd w:val="0"/>
              <w:jc w:val="center"/>
              <w:rPr>
                <w:rFonts w:cstheme="minorHAnsi"/>
                <w:color w:val="000000"/>
                <w:sz w:val="18"/>
                <w:szCs w:val="18"/>
              </w:rPr>
            </w:pPr>
            <w:r>
              <w:rPr>
                <w:rFonts w:cstheme="minorHAnsi"/>
                <w:color w:val="000000"/>
                <w:sz w:val="18"/>
                <w:szCs w:val="18"/>
              </w:rPr>
              <w:t>20</w:t>
            </w:r>
          </w:p>
        </w:tc>
        <w:tc>
          <w:tcPr>
            <w:tcW w:w="1417" w:type="dxa"/>
          </w:tcPr>
          <w:p w14:paraId="04A95909" w14:textId="77777777" w:rsidR="009B00D2" w:rsidRDefault="0043498C" w:rsidP="0043498C">
            <w:pPr>
              <w:autoSpaceDE w:val="0"/>
              <w:autoSpaceDN w:val="0"/>
              <w:adjustRightInd w:val="0"/>
              <w:jc w:val="center"/>
              <w:rPr>
                <w:rFonts w:cstheme="minorHAnsi"/>
                <w:color w:val="000000"/>
                <w:sz w:val="18"/>
                <w:szCs w:val="18"/>
              </w:rPr>
            </w:pPr>
            <w:r>
              <w:rPr>
                <w:rFonts w:cstheme="minorHAnsi"/>
                <w:color w:val="000000"/>
                <w:sz w:val="18"/>
                <w:szCs w:val="18"/>
              </w:rPr>
              <w:t>20</w:t>
            </w:r>
          </w:p>
        </w:tc>
        <w:tc>
          <w:tcPr>
            <w:tcW w:w="1508" w:type="dxa"/>
          </w:tcPr>
          <w:p w14:paraId="6FC95681" w14:textId="77777777" w:rsidR="009B00D2" w:rsidRDefault="0043498C" w:rsidP="0043498C">
            <w:pPr>
              <w:autoSpaceDE w:val="0"/>
              <w:autoSpaceDN w:val="0"/>
              <w:adjustRightInd w:val="0"/>
              <w:jc w:val="center"/>
              <w:rPr>
                <w:rFonts w:cstheme="minorHAnsi"/>
                <w:color w:val="000000"/>
                <w:sz w:val="18"/>
                <w:szCs w:val="18"/>
              </w:rPr>
            </w:pPr>
            <w:r>
              <w:rPr>
                <w:rFonts w:cstheme="minorHAnsi"/>
                <w:color w:val="000000"/>
                <w:sz w:val="18"/>
                <w:szCs w:val="18"/>
              </w:rPr>
              <w:t>4</w:t>
            </w:r>
          </w:p>
        </w:tc>
      </w:tr>
      <w:tr w:rsidR="009B00D2" w14:paraId="14363A81" w14:textId="77777777" w:rsidTr="0043498C">
        <w:trPr>
          <w:trHeight w:val="517"/>
        </w:trPr>
        <w:tc>
          <w:tcPr>
            <w:tcW w:w="3256" w:type="dxa"/>
          </w:tcPr>
          <w:p w14:paraId="535B433D" w14:textId="77777777" w:rsidR="009B00D2" w:rsidRPr="009B00D2" w:rsidRDefault="009B00D2" w:rsidP="009B00D2">
            <w:pPr>
              <w:rPr>
                <w:rFonts w:cstheme="minorHAnsi"/>
                <w:b/>
                <w:bCs/>
                <w:sz w:val="18"/>
                <w:szCs w:val="18"/>
              </w:rPr>
            </w:pPr>
            <w:r>
              <w:rPr>
                <w:rFonts w:cstheme="minorHAnsi"/>
                <w:b/>
                <w:bCs/>
                <w:sz w:val="18"/>
                <w:szCs w:val="18"/>
              </w:rPr>
              <w:br w:type="page"/>
            </w:r>
            <w:r>
              <w:rPr>
                <w:rFonts w:cstheme="minorHAnsi"/>
                <w:b/>
                <w:bCs/>
                <w:sz w:val="18"/>
                <w:szCs w:val="18"/>
              </w:rPr>
              <w:br w:type="page"/>
            </w:r>
            <w:r w:rsidRPr="00027652">
              <w:rPr>
                <w:rFonts w:cstheme="minorHAnsi"/>
                <w:color w:val="000000"/>
                <w:sz w:val="18"/>
                <w:szCs w:val="18"/>
              </w:rPr>
              <w:t>bufferbewaarplaats 500 kg</w:t>
            </w:r>
            <w:r>
              <w:rPr>
                <w:rFonts w:cstheme="minorHAnsi"/>
                <w:color w:val="000000"/>
                <w:sz w:val="18"/>
                <w:szCs w:val="18"/>
              </w:rPr>
              <w:t xml:space="preserve"> t/m 1.000 kg</w:t>
            </w:r>
          </w:p>
        </w:tc>
        <w:tc>
          <w:tcPr>
            <w:tcW w:w="1559" w:type="dxa"/>
          </w:tcPr>
          <w:p w14:paraId="6F2F5DEA" w14:textId="77777777" w:rsidR="009B00D2" w:rsidRDefault="009B00D2" w:rsidP="0043498C">
            <w:pPr>
              <w:autoSpaceDE w:val="0"/>
              <w:autoSpaceDN w:val="0"/>
              <w:adjustRightInd w:val="0"/>
              <w:jc w:val="center"/>
              <w:rPr>
                <w:rFonts w:cstheme="minorHAnsi"/>
                <w:color w:val="000000"/>
                <w:sz w:val="18"/>
                <w:szCs w:val="18"/>
              </w:rPr>
            </w:pPr>
            <w:r>
              <w:rPr>
                <w:rFonts w:cstheme="minorHAnsi"/>
                <w:color w:val="000000"/>
                <w:sz w:val="18"/>
                <w:szCs w:val="18"/>
              </w:rPr>
              <w:t>Alle</w:t>
            </w:r>
          </w:p>
        </w:tc>
        <w:tc>
          <w:tcPr>
            <w:tcW w:w="1276" w:type="dxa"/>
          </w:tcPr>
          <w:p w14:paraId="0732C349" w14:textId="77777777" w:rsidR="009B00D2" w:rsidRDefault="0043498C" w:rsidP="0043498C">
            <w:pPr>
              <w:autoSpaceDE w:val="0"/>
              <w:autoSpaceDN w:val="0"/>
              <w:adjustRightInd w:val="0"/>
              <w:jc w:val="center"/>
              <w:rPr>
                <w:rFonts w:cstheme="minorHAnsi"/>
                <w:color w:val="000000"/>
                <w:sz w:val="18"/>
                <w:szCs w:val="18"/>
              </w:rPr>
            </w:pPr>
            <w:r>
              <w:rPr>
                <w:rFonts w:cstheme="minorHAnsi"/>
                <w:color w:val="000000"/>
                <w:sz w:val="18"/>
                <w:szCs w:val="18"/>
              </w:rPr>
              <w:t>25</w:t>
            </w:r>
          </w:p>
        </w:tc>
        <w:tc>
          <w:tcPr>
            <w:tcW w:w="1417" w:type="dxa"/>
          </w:tcPr>
          <w:p w14:paraId="417A82F0" w14:textId="77777777" w:rsidR="009B00D2" w:rsidRDefault="0043498C" w:rsidP="0043498C">
            <w:pPr>
              <w:autoSpaceDE w:val="0"/>
              <w:autoSpaceDN w:val="0"/>
              <w:adjustRightInd w:val="0"/>
              <w:jc w:val="center"/>
              <w:rPr>
                <w:rFonts w:cstheme="minorHAnsi"/>
                <w:color w:val="000000"/>
                <w:sz w:val="18"/>
                <w:szCs w:val="18"/>
              </w:rPr>
            </w:pPr>
            <w:r>
              <w:rPr>
                <w:rFonts w:cstheme="minorHAnsi"/>
                <w:color w:val="000000"/>
                <w:sz w:val="18"/>
                <w:szCs w:val="18"/>
              </w:rPr>
              <w:t>20</w:t>
            </w:r>
          </w:p>
        </w:tc>
        <w:tc>
          <w:tcPr>
            <w:tcW w:w="1508" w:type="dxa"/>
          </w:tcPr>
          <w:p w14:paraId="13FE0C9A" w14:textId="77777777" w:rsidR="009B00D2" w:rsidRDefault="0043498C" w:rsidP="0043498C">
            <w:pPr>
              <w:autoSpaceDE w:val="0"/>
              <w:autoSpaceDN w:val="0"/>
              <w:adjustRightInd w:val="0"/>
              <w:jc w:val="center"/>
              <w:rPr>
                <w:rFonts w:cstheme="minorHAnsi"/>
                <w:color w:val="000000"/>
                <w:sz w:val="18"/>
                <w:szCs w:val="18"/>
              </w:rPr>
            </w:pPr>
            <w:r>
              <w:rPr>
                <w:rFonts w:cstheme="minorHAnsi"/>
                <w:color w:val="000000"/>
                <w:sz w:val="18"/>
                <w:szCs w:val="18"/>
              </w:rPr>
              <w:t>5</w:t>
            </w:r>
          </w:p>
        </w:tc>
      </w:tr>
      <w:tr w:rsidR="009B00D2" w14:paraId="3143BD92" w14:textId="77777777" w:rsidTr="0043498C">
        <w:tc>
          <w:tcPr>
            <w:tcW w:w="3256" w:type="dxa"/>
          </w:tcPr>
          <w:p w14:paraId="7F6F1012" w14:textId="77777777" w:rsidR="009B00D2" w:rsidRDefault="009B00D2" w:rsidP="009B00D2">
            <w:pPr>
              <w:autoSpaceDE w:val="0"/>
              <w:autoSpaceDN w:val="0"/>
              <w:adjustRightInd w:val="0"/>
              <w:rPr>
                <w:rFonts w:cstheme="minorHAnsi"/>
                <w:color w:val="000000"/>
                <w:sz w:val="18"/>
                <w:szCs w:val="18"/>
              </w:rPr>
            </w:pPr>
            <w:r w:rsidRPr="00027652">
              <w:rPr>
                <w:rFonts w:cstheme="minorHAnsi"/>
                <w:color w:val="000000"/>
                <w:sz w:val="18"/>
                <w:szCs w:val="18"/>
              </w:rPr>
              <w:t>Bufferbewaarplaats</w:t>
            </w:r>
            <w:r>
              <w:rPr>
                <w:rFonts w:cstheme="minorHAnsi"/>
                <w:color w:val="000000"/>
                <w:sz w:val="18"/>
                <w:szCs w:val="18"/>
              </w:rPr>
              <w:t xml:space="preserve"> 1.000 t/m</w:t>
            </w:r>
            <w:r w:rsidRPr="00027652">
              <w:rPr>
                <w:rFonts w:cstheme="minorHAnsi"/>
                <w:color w:val="000000"/>
                <w:sz w:val="18"/>
                <w:szCs w:val="18"/>
              </w:rPr>
              <w:t xml:space="preserve"> </w:t>
            </w:r>
            <w:r>
              <w:rPr>
                <w:rFonts w:cstheme="minorHAnsi"/>
                <w:color w:val="000000"/>
                <w:sz w:val="18"/>
                <w:szCs w:val="18"/>
              </w:rPr>
              <w:t>2.0</w:t>
            </w:r>
            <w:r w:rsidRPr="00027652">
              <w:rPr>
                <w:rFonts w:cstheme="minorHAnsi"/>
                <w:color w:val="000000"/>
                <w:sz w:val="18"/>
                <w:szCs w:val="18"/>
              </w:rPr>
              <w:t>00 kg</w:t>
            </w:r>
          </w:p>
        </w:tc>
        <w:tc>
          <w:tcPr>
            <w:tcW w:w="1559" w:type="dxa"/>
          </w:tcPr>
          <w:p w14:paraId="62C87EFE" w14:textId="77777777" w:rsidR="009B00D2" w:rsidRDefault="009B00D2" w:rsidP="0043498C">
            <w:pPr>
              <w:autoSpaceDE w:val="0"/>
              <w:autoSpaceDN w:val="0"/>
              <w:adjustRightInd w:val="0"/>
              <w:jc w:val="center"/>
              <w:rPr>
                <w:rFonts w:cstheme="minorHAnsi"/>
                <w:color w:val="000000"/>
                <w:sz w:val="18"/>
                <w:szCs w:val="18"/>
              </w:rPr>
            </w:pPr>
            <w:r>
              <w:rPr>
                <w:rFonts w:cstheme="minorHAnsi"/>
                <w:color w:val="000000"/>
                <w:sz w:val="18"/>
                <w:szCs w:val="18"/>
              </w:rPr>
              <w:t>Alle</w:t>
            </w:r>
          </w:p>
        </w:tc>
        <w:tc>
          <w:tcPr>
            <w:tcW w:w="1276" w:type="dxa"/>
          </w:tcPr>
          <w:p w14:paraId="40BCCB3D" w14:textId="77777777" w:rsidR="009B00D2" w:rsidRDefault="0043498C" w:rsidP="0043498C">
            <w:pPr>
              <w:autoSpaceDE w:val="0"/>
              <w:autoSpaceDN w:val="0"/>
              <w:adjustRightInd w:val="0"/>
              <w:jc w:val="center"/>
              <w:rPr>
                <w:rFonts w:cstheme="minorHAnsi"/>
                <w:color w:val="000000"/>
                <w:sz w:val="18"/>
                <w:szCs w:val="18"/>
              </w:rPr>
            </w:pPr>
            <w:r>
              <w:rPr>
                <w:rFonts w:cstheme="minorHAnsi"/>
                <w:color w:val="000000"/>
                <w:sz w:val="18"/>
                <w:szCs w:val="18"/>
              </w:rPr>
              <w:t>33</w:t>
            </w:r>
          </w:p>
        </w:tc>
        <w:tc>
          <w:tcPr>
            <w:tcW w:w="1417" w:type="dxa"/>
          </w:tcPr>
          <w:p w14:paraId="25CDAB65" w14:textId="77777777" w:rsidR="009B00D2" w:rsidRDefault="0043498C" w:rsidP="0043498C">
            <w:pPr>
              <w:autoSpaceDE w:val="0"/>
              <w:autoSpaceDN w:val="0"/>
              <w:adjustRightInd w:val="0"/>
              <w:jc w:val="center"/>
              <w:rPr>
                <w:rFonts w:cstheme="minorHAnsi"/>
                <w:color w:val="000000"/>
                <w:sz w:val="18"/>
                <w:szCs w:val="18"/>
              </w:rPr>
            </w:pPr>
            <w:r>
              <w:rPr>
                <w:rFonts w:cstheme="minorHAnsi"/>
                <w:color w:val="000000"/>
                <w:sz w:val="18"/>
                <w:szCs w:val="18"/>
              </w:rPr>
              <w:t>25</w:t>
            </w:r>
          </w:p>
        </w:tc>
        <w:tc>
          <w:tcPr>
            <w:tcW w:w="1508" w:type="dxa"/>
          </w:tcPr>
          <w:p w14:paraId="5E34F910" w14:textId="77777777" w:rsidR="009B00D2" w:rsidRDefault="0043498C" w:rsidP="0043498C">
            <w:pPr>
              <w:autoSpaceDE w:val="0"/>
              <w:autoSpaceDN w:val="0"/>
              <w:adjustRightInd w:val="0"/>
              <w:jc w:val="center"/>
              <w:rPr>
                <w:rFonts w:cstheme="minorHAnsi"/>
                <w:color w:val="000000"/>
                <w:sz w:val="18"/>
                <w:szCs w:val="18"/>
              </w:rPr>
            </w:pPr>
            <w:r>
              <w:rPr>
                <w:rFonts w:cstheme="minorHAnsi"/>
                <w:color w:val="000000"/>
                <w:sz w:val="18"/>
                <w:szCs w:val="18"/>
              </w:rPr>
              <w:t>6</w:t>
            </w:r>
          </w:p>
        </w:tc>
      </w:tr>
      <w:tr w:rsidR="009B00D2" w14:paraId="23A56EAE" w14:textId="77777777" w:rsidTr="0043498C">
        <w:tc>
          <w:tcPr>
            <w:tcW w:w="3256" w:type="dxa"/>
          </w:tcPr>
          <w:p w14:paraId="0ECC4CF4" w14:textId="77777777" w:rsidR="009B00D2" w:rsidRPr="00027652" w:rsidRDefault="009B00D2" w:rsidP="009B00D2">
            <w:pPr>
              <w:autoSpaceDE w:val="0"/>
              <w:autoSpaceDN w:val="0"/>
              <w:adjustRightInd w:val="0"/>
              <w:rPr>
                <w:rFonts w:cstheme="minorHAnsi"/>
                <w:color w:val="000000"/>
                <w:sz w:val="18"/>
                <w:szCs w:val="18"/>
              </w:rPr>
            </w:pPr>
            <w:r w:rsidRPr="00027652">
              <w:rPr>
                <w:rFonts w:cstheme="minorHAnsi"/>
                <w:color w:val="000000"/>
                <w:sz w:val="18"/>
                <w:szCs w:val="18"/>
              </w:rPr>
              <w:t xml:space="preserve">bufferbewaarplaats </w:t>
            </w:r>
            <w:r>
              <w:rPr>
                <w:rFonts w:cstheme="minorHAnsi"/>
                <w:color w:val="000000"/>
                <w:sz w:val="18"/>
                <w:szCs w:val="18"/>
              </w:rPr>
              <w:t>2.000 t/m 3.500 kg</w:t>
            </w:r>
          </w:p>
        </w:tc>
        <w:tc>
          <w:tcPr>
            <w:tcW w:w="1559" w:type="dxa"/>
          </w:tcPr>
          <w:p w14:paraId="4EB0E7FC" w14:textId="77777777" w:rsidR="009B00D2" w:rsidRDefault="009B00D2" w:rsidP="0043498C">
            <w:pPr>
              <w:autoSpaceDE w:val="0"/>
              <w:autoSpaceDN w:val="0"/>
              <w:adjustRightInd w:val="0"/>
              <w:jc w:val="center"/>
              <w:rPr>
                <w:rFonts w:cstheme="minorHAnsi"/>
                <w:color w:val="000000"/>
                <w:sz w:val="18"/>
                <w:szCs w:val="18"/>
              </w:rPr>
            </w:pPr>
            <w:r>
              <w:rPr>
                <w:rFonts w:cstheme="minorHAnsi"/>
                <w:color w:val="000000"/>
                <w:sz w:val="18"/>
                <w:szCs w:val="18"/>
              </w:rPr>
              <w:t>Alle</w:t>
            </w:r>
          </w:p>
        </w:tc>
        <w:tc>
          <w:tcPr>
            <w:tcW w:w="1276" w:type="dxa"/>
          </w:tcPr>
          <w:p w14:paraId="73C082FD" w14:textId="77777777" w:rsidR="009B00D2" w:rsidRDefault="0043498C" w:rsidP="0043498C">
            <w:pPr>
              <w:autoSpaceDE w:val="0"/>
              <w:autoSpaceDN w:val="0"/>
              <w:adjustRightInd w:val="0"/>
              <w:jc w:val="center"/>
              <w:rPr>
                <w:rFonts w:cstheme="minorHAnsi"/>
                <w:color w:val="000000"/>
                <w:sz w:val="18"/>
                <w:szCs w:val="18"/>
              </w:rPr>
            </w:pPr>
            <w:r>
              <w:rPr>
                <w:rFonts w:cstheme="minorHAnsi"/>
                <w:color w:val="000000"/>
                <w:sz w:val="18"/>
                <w:szCs w:val="18"/>
              </w:rPr>
              <w:t>42</w:t>
            </w:r>
          </w:p>
        </w:tc>
        <w:tc>
          <w:tcPr>
            <w:tcW w:w="1417" w:type="dxa"/>
          </w:tcPr>
          <w:p w14:paraId="3B6E18F3" w14:textId="77777777" w:rsidR="009B00D2" w:rsidRDefault="0043498C" w:rsidP="0043498C">
            <w:pPr>
              <w:autoSpaceDE w:val="0"/>
              <w:autoSpaceDN w:val="0"/>
              <w:adjustRightInd w:val="0"/>
              <w:jc w:val="center"/>
              <w:rPr>
                <w:rFonts w:cstheme="minorHAnsi"/>
                <w:color w:val="000000"/>
                <w:sz w:val="18"/>
                <w:szCs w:val="18"/>
              </w:rPr>
            </w:pPr>
            <w:r>
              <w:rPr>
                <w:rFonts w:cstheme="minorHAnsi"/>
                <w:color w:val="000000"/>
                <w:sz w:val="18"/>
                <w:szCs w:val="18"/>
              </w:rPr>
              <w:t>31</w:t>
            </w:r>
          </w:p>
        </w:tc>
        <w:tc>
          <w:tcPr>
            <w:tcW w:w="1508" w:type="dxa"/>
          </w:tcPr>
          <w:p w14:paraId="09BFF1A1" w14:textId="77777777" w:rsidR="009B00D2" w:rsidRDefault="0043498C" w:rsidP="0043498C">
            <w:pPr>
              <w:autoSpaceDE w:val="0"/>
              <w:autoSpaceDN w:val="0"/>
              <w:adjustRightInd w:val="0"/>
              <w:jc w:val="center"/>
              <w:rPr>
                <w:rFonts w:cstheme="minorHAnsi"/>
                <w:color w:val="000000"/>
                <w:sz w:val="18"/>
                <w:szCs w:val="18"/>
              </w:rPr>
            </w:pPr>
            <w:r>
              <w:rPr>
                <w:rFonts w:cstheme="minorHAnsi"/>
                <w:color w:val="000000"/>
                <w:sz w:val="18"/>
                <w:szCs w:val="18"/>
              </w:rPr>
              <w:t>8</w:t>
            </w:r>
          </w:p>
        </w:tc>
      </w:tr>
      <w:tr w:rsidR="009B00D2" w14:paraId="2430F686" w14:textId="77777777" w:rsidTr="0043498C">
        <w:tc>
          <w:tcPr>
            <w:tcW w:w="3256" w:type="dxa"/>
          </w:tcPr>
          <w:p w14:paraId="1C93BDBD" w14:textId="77777777" w:rsidR="009B00D2" w:rsidRPr="00027652" w:rsidRDefault="009B00D2" w:rsidP="009B00D2">
            <w:pPr>
              <w:autoSpaceDE w:val="0"/>
              <w:autoSpaceDN w:val="0"/>
              <w:adjustRightInd w:val="0"/>
              <w:rPr>
                <w:rFonts w:cstheme="minorHAnsi"/>
                <w:color w:val="000000"/>
                <w:sz w:val="18"/>
                <w:szCs w:val="18"/>
              </w:rPr>
            </w:pPr>
            <w:r w:rsidRPr="00027652">
              <w:rPr>
                <w:rFonts w:cstheme="minorHAnsi"/>
                <w:color w:val="000000"/>
                <w:sz w:val="18"/>
                <w:szCs w:val="18"/>
              </w:rPr>
              <w:t>Bufferbewaarplaats</w:t>
            </w:r>
            <w:r>
              <w:rPr>
                <w:rFonts w:cstheme="minorHAnsi"/>
                <w:color w:val="000000"/>
                <w:sz w:val="18"/>
                <w:szCs w:val="18"/>
              </w:rPr>
              <w:t xml:space="preserve"> 3.500 t/m</w:t>
            </w:r>
            <w:r w:rsidR="0043498C">
              <w:rPr>
                <w:rFonts w:cstheme="minorHAnsi"/>
                <w:color w:val="000000"/>
                <w:sz w:val="18"/>
                <w:szCs w:val="18"/>
              </w:rPr>
              <w:t xml:space="preserve"> 5.000 kg</w:t>
            </w:r>
          </w:p>
        </w:tc>
        <w:tc>
          <w:tcPr>
            <w:tcW w:w="1559" w:type="dxa"/>
          </w:tcPr>
          <w:p w14:paraId="6AE2BBCC" w14:textId="77777777" w:rsidR="009B00D2" w:rsidRDefault="009B00D2" w:rsidP="0043498C">
            <w:pPr>
              <w:autoSpaceDE w:val="0"/>
              <w:autoSpaceDN w:val="0"/>
              <w:adjustRightInd w:val="0"/>
              <w:jc w:val="center"/>
              <w:rPr>
                <w:rFonts w:cstheme="minorHAnsi"/>
                <w:color w:val="000000"/>
                <w:sz w:val="18"/>
                <w:szCs w:val="18"/>
              </w:rPr>
            </w:pPr>
            <w:r>
              <w:rPr>
                <w:rFonts w:cstheme="minorHAnsi"/>
                <w:color w:val="000000"/>
                <w:sz w:val="18"/>
                <w:szCs w:val="18"/>
              </w:rPr>
              <w:t>Alle</w:t>
            </w:r>
          </w:p>
        </w:tc>
        <w:tc>
          <w:tcPr>
            <w:tcW w:w="1276" w:type="dxa"/>
          </w:tcPr>
          <w:p w14:paraId="174B6D89" w14:textId="77777777" w:rsidR="009B00D2" w:rsidRDefault="0043498C" w:rsidP="0043498C">
            <w:pPr>
              <w:autoSpaceDE w:val="0"/>
              <w:autoSpaceDN w:val="0"/>
              <w:adjustRightInd w:val="0"/>
              <w:jc w:val="center"/>
              <w:rPr>
                <w:rFonts w:cstheme="minorHAnsi"/>
                <w:color w:val="000000"/>
                <w:sz w:val="18"/>
                <w:szCs w:val="18"/>
              </w:rPr>
            </w:pPr>
            <w:r>
              <w:rPr>
                <w:rFonts w:cstheme="minorHAnsi"/>
                <w:color w:val="000000"/>
                <w:sz w:val="18"/>
                <w:szCs w:val="18"/>
              </w:rPr>
              <w:t>48</w:t>
            </w:r>
          </w:p>
        </w:tc>
        <w:tc>
          <w:tcPr>
            <w:tcW w:w="1417" w:type="dxa"/>
          </w:tcPr>
          <w:p w14:paraId="43B5CDF4" w14:textId="77777777" w:rsidR="009B00D2" w:rsidRDefault="0043498C" w:rsidP="0043498C">
            <w:pPr>
              <w:autoSpaceDE w:val="0"/>
              <w:autoSpaceDN w:val="0"/>
              <w:adjustRightInd w:val="0"/>
              <w:jc w:val="center"/>
              <w:rPr>
                <w:rFonts w:cstheme="minorHAnsi"/>
                <w:color w:val="000000"/>
                <w:sz w:val="18"/>
                <w:szCs w:val="18"/>
              </w:rPr>
            </w:pPr>
            <w:r>
              <w:rPr>
                <w:rFonts w:cstheme="minorHAnsi"/>
                <w:color w:val="000000"/>
                <w:sz w:val="18"/>
                <w:szCs w:val="18"/>
              </w:rPr>
              <w:t>36</w:t>
            </w:r>
          </w:p>
        </w:tc>
        <w:tc>
          <w:tcPr>
            <w:tcW w:w="1508" w:type="dxa"/>
          </w:tcPr>
          <w:p w14:paraId="30AAD16C" w14:textId="77777777" w:rsidR="009B00D2" w:rsidRDefault="0043498C" w:rsidP="0043498C">
            <w:pPr>
              <w:autoSpaceDE w:val="0"/>
              <w:autoSpaceDN w:val="0"/>
              <w:adjustRightInd w:val="0"/>
              <w:jc w:val="center"/>
              <w:rPr>
                <w:rFonts w:cstheme="minorHAnsi"/>
                <w:color w:val="000000"/>
                <w:sz w:val="18"/>
                <w:szCs w:val="18"/>
              </w:rPr>
            </w:pPr>
            <w:r>
              <w:rPr>
                <w:rFonts w:cstheme="minorHAnsi"/>
                <w:color w:val="000000"/>
                <w:sz w:val="18"/>
                <w:szCs w:val="18"/>
              </w:rPr>
              <w:t>9</w:t>
            </w:r>
          </w:p>
        </w:tc>
      </w:tr>
    </w:tbl>
    <w:p w14:paraId="056E47CD" w14:textId="77777777" w:rsidR="009B00D2" w:rsidRDefault="009B00D2" w:rsidP="009B00D2">
      <w:pPr>
        <w:autoSpaceDE w:val="0"/>
        <w:autoSpaceDN w:val="0"/>
        <w:adjustRightInd w:val="0"/>
        <w:spacing w:after="0" w:line="240" w:lineRule="auto"/>
        <w:rPr>
          <w:rFonts w:cstheme="minorHAnsi"/>
          <w:color w:val="000000"/>
          <w:sz w:val="18"/>
          <w:szCs w:val="18"/>
        </w:rPr>
      </w:pPr>
    </w:p>
    <w:p w14:paraId="72C54422" w14:textId="77777777" w:rsidR="009B00D2" w:rsidRPr="00027652" w:rsidRDefault="009B00D2" w:rsidP="009B00D2">
      <w:pPr>
        <w:autoSpaceDE w:val="0"/>
        <w:autoSpaceDN w:val="0"/>
        <w:adjustRightInd w:val="0"/>
        <w:spacing w:after="0" w:line="240" w:lineRule="auto"/>
        <w:rPr>
          <w:rFonts w:cstheme="minorHAnsi"/>
          <w:color w:val="000000"/>
          <w:sz w:val="18"/>
          <w:szCs w:val="18"/>
        </w:rPr>
      </w:pPr>
      <w:r w:rsidRPr="00027652">
        <w:rPr>
          <w:rFonts w:cstheme="minorHAnsi"/>
          <w:color w:val="000000"/>
          <w:sz w:val="18"/>
          <w:szCs w:val="18"/>
        </w:rPr>
        <w:t xml:space="preserve">a Afstand voorwaarts is de afstand in zowel horizontale als verticale richting, gemeten in bolvorm vanaf het middelpunt van de deuropening van een ruimte in de richting, zoals aangegeven in onderstaande figuur, onder a. </w:t>
      </w:r>
    </w:p>
    <w:p w14:paraId="14D3C331" w14:textId="77777777" w:rsidR="00027652" w:rsidRDefault="009B00D2" w:rsidP="009B00D2">
      <w:pPr>
        <w:autoSpaceDE w:val="0"/>
        <w:autoSpaceDN w:val="0"/>
        <w:adjustRightInd w:val="0"/>
        <w:spacing w:after="0" w:line="276" w:lineRule="auto"/>
        <w:rPr>
          <w:rFonts w:cstheme="minorHAnsi"/>
          <w:color w:val="000000"/>
          <w:sz w:val="18"/>
          <w:szCs w:val="18"/>
        </w:rPr>
      </w:pPr>
      <w:r w:rsidRPr="00027652">
        <w:rPr>
          <w:rFonts w:cstheme="minorHAnsi"/>
          <w:color w:val="000000"/>
          <w:sz w:val="18"/>
          <w:szCs w:val="18"/>
        </w:rPr>
        <w:t>b en c Afstand zijwaarts en achterwaarts zijn de afstanden in zowel horizontale als verticale richting, gemeten in blokvorm vanaf het middelpunt van de deuropening van een ruimte in de richting, zoals aangegeven in onderstaande figuur, onder b, respectievelijk onder c, waarbij de afstand in verticale richting gelijk is aan de afstand in (horizontale) zijwaartse richting</w:t>
      </w:r>
      <w:r w:rsidR="0043498C">
        <w:rPr>
          <w:rFonts w:cstheme="minorHAnsi"/>
          <w:color w:val="000000"/>
          <w:sz w:val="18"/>
          <w:szCs w:val="18"/>
        </w:rPr>
        <w:t>.</w:t>
      </w:r>
    </w:p>
    <w:p w14:paraId="1AF3E593" w14:textId="77777777" w:rsidR="0043498C" w:rsidRDefault="0043498C" w:rsidP="009B00D2">
      <w:pPr>
        <w:autoSpaceDE w:val="0"/>
        <w:autoSpaceDN w:val="0"/>
        <w:adjustRightInd w:val="0"/>
        <w:spacing w:after="0" w:line="276" w:lineRule="auto"/>
        <w:rPr>
          <w:rFonts w:cstheme="minorHAnsi"/>
          <w:color w:val="000000"/>
          <w:sz w:val="18"/>
          <w:szCs w:val="18"/>
        </w:rPr>
      </w:pPr>
    </w:p>
    <w:p w14:paraId="19BB09C7" w14:textId="77777777" w:rsidR="0043498C" w:rsidRPr="00027652" w:rsidRDefault="0043498C" w:rsidP="009B00D2">
      <w:pPr>
        <w:autoSpaceDE w:val="0"/>
        <w:autoSpaceDN w:val="0"/>
        <w:adjustRightInd w:val="0"/>
        <w:spacing w:after="0" w:line="276" w:lineRule="auto"/>
        <w:rPr>
          <w:rFonts w:cstheme="minorHAnsi"/>
          <w:b/>
          <w:bCs/>
          <w:color w:val="FF0000"/>
          <w:sz w:val="18"/>
          <w:szCs w:val="18"/>
        </w:rPr>
      </w:pPr>
    </w:p>
    <w:p w14:paraId="3772D4CF" w14:textId="77777777" w:rsidR="00AE15A5" w:rsidRDefault="00027652">
      <w:pPr>
        <w:rPr>
          <w:rFonts w:asciiTheme="majorHAnsi" w:hAnsiTheme="majorHAnsi" w:cstheme="majorHAnsi"/>
          <w:b/>
          <w:bCs/>
          <w:color w:val="000000"/>
          <w:szCs w:val="18"/>
        </w:rPr>
      </w:pPr>
      <w:r w:rsidRPr="00027652">
        <w:rPr>
          <w:rFonts w:asciiTheme="majorHAnsi" w:hAnsiTheme="majorHAnsi" w:cstheme="majorHAnsi"/>
          <w:b/>
          <w:bCs/>
          <w:noProof/>
          <w:color w:val="000000"/>
          <w:szCs w:val="18"/>
        </w:rPr>
        <w:drawing>
          <wp:inline distT="0" distB="0" distL="0" distR="0" wp14:anchorId="2C1CCA19" wp14:editId="6781F3A7">
            <wp:extent cx="2881710" cy="26098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3387" cy="2620426"/>
                    </a:xfrm>
                    <a:prstGeom prst="rect">
                      <a:avLst/>
                    </a:prstGeom>
                    <a:noFill/>
                    <a:ln>
                      <a:noFill/>
                    </a:ln>
                  </pic:spPr>
                </pic:pic>
              </a:graphicData>
            </a:graphic>
          </wp:inline>
        </w:drawing>
      </w:r>
      <w:r w:rsidRPr="00027652">
        <w:rPr>
          <w:rFonts w:asciiTheme="majorHAnsi" w:hAnsiTheme="majorHAnsi" w:cstheme="majorHAnsi"/>
          <w:b/>
          <w:bCs/>
          <w:color w:val="000000"/>
          <w:szCs w:val="18"/>
        </w:rPr>
        <w:t xml:space="preserve"> </w:t>
      </w:r>
      <w:r w:rsidR="00AE15A5">
        <w:rPr>
          <w:rFonts w:asciiTheme="majorHAnsi" w:hAnsiTheme="majorHAnsi" w:cstheme="majorHAnsi"/>
          <w:b/>
          <w:bCs/>
          <w:color w:val="000000"/>
          <w:szCs w:val="18"/>
        </w:rPr>
        <w:br w:type="page"/>
      </w:r>
    </w:p>
    <w:p w14:paraId="4B5AE7E9" w14:textId="77777777" w:rsidR="00AE15A5" w:rsidRDefault="0043498C" w:rsidP="00AE15A5">
      <w:pPr>
        <w:pStyle w:val="Heading2"/>
        <w:spacing w:line="276" w:lineRule="auto"/>
        <w:rPr>
          <w:lang w:val="nl-NL"/>
        </w:rPr>
      </w:pPr>
      <w:r>
        <w:rPr>
          <w:lang w:val="nl-NL"/>
        </w:rPr>
        <w:lastRenderedPageBreak/>
        <w:t xml:space="preserve">Informatietabel </w:t>
      </w:r>
      <w:r w:rsidR="00AE15A5">
        <w:rPr>
          <w:rFonts w:eastAsiaTheme="minorEastAsia"/>
          <w:lang w:val="nl-NL" w:eastAsia="nl-NL"/>
        </w:rPr>
        <w:t>voor ‘</w:t>
      </w:r>
      <w:r w:rsidR="00A0724C">
        <w:rPr>
          <w:rFonts w:eastAsiaTheme="minorEastAsia"/>
          <w:lang w:val="nl-NL" w:eastAsia="nl-NL"/>
        </w:rPr>
        <w:t>Explosieaandacht</w:t>
      </w:r>
      <w:r>
        <w:rPr>
          <w:rFonts w:eastAsiaTheme="minorEastAsia"/>
          <w:lang w:val="nl-NL" w:eastAsia="nl-NL"/>
        </w:rPr>
        <w:t>sgebied</w:t>
      </w:r>
      <w:r w:rsidR="00A0724C">
        <w:rPr>
          <w:rFonts w:eastAsiaTheme="minorEastAsia"/>
          <w:lang w:val="nl-NL" w:eastAsia="nl-NL"/>
        </w:rPr>
        <w:t xml:space="preserve"> vuurwerk</w:t>
      </w:r>
      <w:r>
        <w:rPr>
          <w:rFonts w:eastAsiaTheme="minorEastAsia"/>
          <w:lang w:val="nl-NL" w:eastAsia="nl-NL"/>
        </w:rPr>
        <w:t>’ Bijlage VIII, A en B</w:t>
      </w:r>
    </w:p>
    <w:p w14:paraId="797F9FE5" w14:textId="77777777" w:rsidR="00A8093E" w:rsidRDefault="00A8093E" w:rsidP="00A8093E">
      <w:pPr>
        <w:spacing w:after="0" w:line="276" w:lineRule="auto"/>
        <w:rPr>
          <w:rFonts w:asciiTheme="majorHAnsi" w:hAnsiTheme="majorHAnsi" w:cstheme="majorHAnsi"/>
          <w:b/>
          <w:i/>
          <w:szCs w:val="18"/>
        </w:rPr>
      </w:pPr>
      <w:r w:rsidRPr="007E6D47">
        <w:rPr>
          <w:rFonts w:asciiTheme="majorHAnsi" w:hAnsiTheme="majorHAnsi" w:cstheme="majorHAnsi"/>
          <w:b/>
          <w:i/>
          <w:szCs w:val="18"/>
        </w:rPr>
        <w:t xml:space="preserve">Tabel </w:t>
      </w:r>
      <w:r w:rsidR="007E56E3">
        <w:rPr>
          <w:rFonts w:asciiTheme="majorHAnsi" w:hAnsiTheme="majorHAnsi" w:cstheme="majorHAnsi"/>
          <w:b/>
          <w:i/>
          <w:szCs w:val="18"/>
        </w:rPr>
        <w:t>2</w:t>
      </w:r>
      <w:r w:rsidRPr="007E6D47">
        <w:rPr>
          <w:rFonts w:asciiTheme="majorHAnsi" w:hAnsiTheme="majorHAnsi" w:cstheme="majorHAnsi"/>
          <w:b/>
          <w:i/>
          <w:szCs w:val="18"/>
        </w:rPr>
        <w:t>: Informatie die verzameld w</w:t>
      </w:r>
      <w:r>
        <w:rPr>
          <w:rFonts w:asciiTheme="majorHAnsi" w:hAnsiTheme="majorHAnsi" w:cstheme="majorHAnsi"/>
          <w:b/>
          <w:i/>
          <w:szCs w:val="18"/>
        </w:rPr>
        <w:t xml:space="preserve">ordt </w:t>
      </w:r>
      <w:proofErr w:type="spellStart"/>
      <w:r>
        <w:rPr>
          <w:rFonts w:asciiTheme="majorHAnsi" w:hAnsiTheme="majorHAnsi" w:cstheme="majorHAnsi"/>
          <w:b/>
          <w:i/>
          <w:szCs w:val="18"/>
        </w:rPr>
        <w:t>ogv</w:t>
      </w:r>
      <w:proofErr w:type="spellEnd"/>
      <w:r>
        <w:rPr>
          <w:rFonts w:asciiTheme="majorHAnsi" w:hAnsiTheme="majorHAnsi" w:cstheme="majorHAnsi"/>
          <w:b/>
          <w:i/>
          <w:szCs w:val="18"/>
        </w:rPr>
        <w:t xml:space="preserve"> </w:t>
      </w:r>
      <w:proofErr w:type="spellStart"/>
      <w:r>
        <w:rPr>
          <w:rFonts w:asciiTheme="majorHAnsi" w:hAnsiTheme="majorHAnsi" w:cstheme="majorHAnsi"/>
          <w:b/>
          <w:i/>
          <w:szCs w:val="18"/>
        </w:rPr>
        <w:t>Bkl</w:t>
      </w:r>
      <w:proofErr w:type="spellEnd"/>
      <w:r>
        <w:rPr>
          <w:rFonts w:asciiTheme="majorHAnsi" w:hAnsiTheme="majorHAnsi" w:cstheme="majorHAnsi"/>
          <w:b/>
          <w:i/>
          <w:szCs w:val="18"/>
        </w:rPr>
        <w:t xml:space="preserve">, art. 10.3 </w:t>
      </w:r>
    </w:p>
    <w:p w14:paraId="3026149F" w14:textId="77777777" w:rsidR="007E56E3" w:rsidRPr="007E6D47" w:rsidRDefault="007E56E3" w:rsidP="00A8093E">
      <w:pPr>
        <w:spacing w:after="0" w:line="276" w:lineRule="auto"/>
        <w:rPr>
          <w:rFonts w:asciiTheme="majorHAnsi" w:hAnsiTheme="majorHAnsi" w:cstheme="majorHAnsi"/>
          <w:b/>
          <w:i/>
          <w:szCs w:val="18"/>
        </w:rPr>
      </w:pPr>
    </w:p>
    <w:tbl>
      <w:tblPr>
        <w:tblStyle w:val="TableGrid"/>
        <w:tblW w:w="0" w:type="auto"/>
        <w:tblInd w:w="-147" w:type="dxa"/>
        <w:tblLook w:val="04A0" w:firstRow="1" w:lastRow="0" w:firstColumn="1" w:lastColumn="0" w:noHBand="0" w:noVBand="1"/>
      </w:tblPr>
      <w:tblGrid>
        <w:gridCol w:w="768"/>
        <w:gridCol w:w="635"/>
        <w:gridCol w:w="3842"/>
        <w:gridCol w:w="2864"/>
        <w:gridCol w:w="1054"/>
      </w:tblGrid>
      <w:tr w:rsidR="00A8093E" w:rsidRPr="007E6D47" w14:paraId="66A0DC62" w14:textId="77777777" w:rsidTr="004F74CA">
        <w:tc>
          <w:tcPr>
            <w:tcW w:w="768" w:type="dxa"/>
          </w:tcPr>
          <w:p w14:paraId="3FF1D820" w14:textId="77777777" w:rsidR="00A8093E" w:rsidRPr="007E6D47" w:rsidRDefault="00A8093E" w:rsidP="00F5401C">
            <w:pPr>
              <w:spacing w:line="276" w:lineRule="auto"/>
              <w:rPr>
                <w:rFonts w:asciiTheme="majorHAnsi" w:hAnsiTheme="majorHAnsi" w:cstheme="majorHAnsi"/>
                <w:b/>
                <w:sz w:val="16"/>
                <w:szCs w:val="16"/>
              </w:rPr>
            </w:pPr>
            <w:proofErr w:type="spellStart"/>
            <w:r w:rsidRPr="007E6D47">
              <w:rPr>
                <w:rFonts w:asciiTheme="majorHAnsi" w:hAnsiTheme="majorHAnsi" w:cstheme="majorHAnsi"/>
                <w:b/>
                <w:sz w:val="16"/>
                <w:szCs w:val="16"/>
              </w:rPr>
              <w:t>Bkl</w:t>
            </w:r>
            <w:proofErr w:type="spellEnd"/>
          </w:p>
        </w:tc>
        <w:tc>
          <w:tcPr>
            <w:tcW w:w="635" w:type="dxa"/>
          </w:tcPr>
          <w:p w14:paraId="3BFD1E97" w14:textId="77777777" w:rsidR="00A8093E" w:rsidRPr="007E6D47" w:rsidRDefault="00A8093E" w:rsidP="00F5401C">
            <w:pPr>
              <w:spacing w:line="276" w:lineRule="auto"/>
              <w:rPr>
                <w:rFonts w:asciiTheme="majorHAnsi" w:hAnsiTheme="majorHAnsi" w:cstheme="majorHAnsi"/>
                <w:b/>
                <w:sz w:val="16"/>
                <w:szCs w:val="16"/>
              </w:rPr>
            </w:pPr>
          </w:p>
        </w:tc>
        <w:tc>
          <w:tcPr>
            <w:tcW w:w="3842" w:type="dxa"/>
          </w:tcPr>
          <w:p w14:paraId="788B4DF6" w14:textId="77777777" w:rsidR="00A8093E" w:rsidRPr="007E6D47" w:rsidRDefault="00A8093E" w:rsidP="00F5401C">
            <w:pPr>
              <w:spacing w:line="276" w:lineRule="auto"/>
              <w:rPr>
                <w:rFonts w:asciiTheme="majorHAnsi" w:hAnsiTheme="majorHAnsi" w:cstheme="majorHAnsi"/>
                <w:b/>
                <w:sz w:val="16"/>
                <w:szCs w:val="16"/>
              </w:rPr>
            </w:pPr>
            <w:r w:rsidRPr="007E6D47">
              <w:rPr>
                <w:rFonts w:asciiTheme="majorHAnsi" w:hAnsiTheme="majorHAnsi" w:cstheme="majorHAnsi"/>
                <w:b/>
                <w:sz w:val="16"/>
                <w:szCs w:val="16"/>
              </w:rPr>
              <w:t>Formulering in regelgeving</w:t>
            </w:r>
          </w:p>
        </w:tc>
        <w:tc>
          <w:tcPr>
            <w:tcW w:w="2864" w:type="dxa"/>
          </w:tcPr>
          <w:p w14:paraId="133ABEAC" w14:textId="77777777" w:rsidR="00A8093E" w:rsidRPr="007E6D47" w:rsidRDefault="00A8093E" w:rsidP="00F5401C">
            <w:pPr>
              <w:spacing w:line="276" w:lineRule="auto"/>
              <w:rPr>
                <w:rFonts w:asciiTheme="majorHAnsi" w:hAnsiTheme="majorHAnsi" w:cstheme="majorHAnsi"/>
                <w:b/>
                <w:sz w:val="16"/>
                <w:szCs w:val="16"/>
              </w:rPr>
            </w:pPr>
            <w:r w:rsidRPr="007E6D47">
              <w:rPr>
                <w:rFonts w:asciiTheme="majorHAnsi" w:hAnsiTheme="majorHAnsi" w:cstheme="majorHAnsi"/>
                <w:b/>
                <w:sz w:val="16"/>
                <w:szCs w:val="16"/>
              </w:rPr>
              <w:t>Wijze van aanduiding</w:t>
            </w:r>
          </w:p>
        </w:tc>
        <w:tc>
          <w:tcPr>
            <w:tcW w:w="1054" w:type="dxa"/>
          </w:tcPr>
          <w:p w14:paraId="4FB179F7" w14:textId="77777777" w:rsidR="00A8093E" w:rsidRPr="007E6D47" w:rsidRDefault="00A8093E" w:rsidP="00F5401C">
            <w:pPr>
              <w:spacing w:line="276" w:lineRule="auto"/>
              <w:rPr>
                <w:rFonts w:asciiTheme="majorHAnsi" w:hAnsiTheme="majorHAnsi" w:cstheme="majorHAnsi"/>
                <w:b/>
                <w:sz w:val="16"/>
                <w:szCs w:val="16"/>
              </w:rPr>
            </w:pPr>
            <w:r w:rsidRPr="007E6D47">
              <w:rPr>
                <w:rFonts w:asciiTheme="majorHAnsi" w:hAnsiTheme="majorHAnsi" w:cstheme="majorHAnsi"/>
                <w:b/>
                <w:sz w:val="16"/>
                <w:szCs w:val="16"/>
              </w:rPr>
              <w:t>Hoe</w:t>
            </w:r>
          </w:p>
        </w:tc>
      </w:tr>
      <w:tr w:rsidR="004F74CA" w:rsidRPr="00A8093E" w14:paraId="1CEB7865" w14:textId="77777777" w:rsidTr="004F74CA">
        <w:trPr>
          <w:trHeight w:val="523"/>
        </w:trPr>
        <w:tc>
          <w:tcPr>
            <w:tcW w:w="768" w:type="dxa"/>
            <w:vMerge w:val="restart"/>
            <w:textDirection w:val="btLr"/>
          </w:tcPr>
          <w:p w14:paraId="44338BC5" w14:textId="77777777" w:rsidR="004F74CA" w:rsidRPr="00EE6C8C" w:rsidRDefault="004F74CA" w:rsidP="00F5401C">
            <w:pPr>
              <w:spacing w:line="276" w:lineRule="auto"/>
              <w:ind w:left="113" w:right="113"/>
              <w:jc w:val="center"/>
              <w:rPr>
                <w:rFonts w:asciiTheme="majorHAnsi" w:hAnsiTheme="majorHAnsi" w:cstheme="majorHAnsi"/>
                <w:sz w:val="16"/>
                <w:szCs w:val="16"/>
              </w:rPr>
            </w:pPr>
            <w:r w:rsidRPr="00EE6C8C">
              <w:rPr>
                <w:rFonts w:asciiTheme="majorHAnsi" w:hAnsiTheme="majorHAnsi" w:cstheme="majorHAnsi"/>
                <w:sz w:val="16"/>
                <w:szCs w:val="16"/>
              </w:rPr>
              <w:t>Art. 10.3</w:t>
            </w:r>
          </w:p>
        </w:tc>
        <w:tc>
          <w:tcPr>
            <w:tcW w:w="635" w:type="dxa"/>
            <w:vMerge w:val="restart"/>
          </w:tcPr>
          <w:p w14:paraId="0885DB30" w14:textId="77777777" w:rsidR="004F74CA" w:rsidRPr="00EE6C8C" w:rsidRDefault="004F74CA" w:rsidP="00F5401C">
            <w:pPr>
              <w:spacing w:line="276" w:lineRule="auto"/>
              <w:rPr>
                <w:rFonts w:asciiTheme="majorHAnsi" w:hAnsiTheme="majorHAnsi" w:cstheme="majorHAnsi"/>
                <w:sz w:val="16"/>
                <w:szCs w:val="16"/>
              </w:rPr>
            </w:pPr>
            <w:r>
              <w:rPr>
                <w:rFonts w:asciiTheme="majorHAnsi" w:hAnsiTheme="majorHAnsi" w:cstheme="majorHAnsi"/>
                <w:sz w:val="16"/>
                <w:szCs w:val="16"/>
              </w:rPr>
              <w:t>h</w:t>
            </w:r>
          </w:p>
        </w:tc>
        <w:tc>
          <w:tcPr>
            <w:tcW w:w="3842" w:type="dxa"/>
            <w:vMerge w:val="restart"/>
          </w:tcPr>
          <w:p w14:paraId="12367304" w14:textId="77777777" w:rsidR="004F74CA" w:rsidRPr="007E56E3" w:rsidRDefault="004F74CA" w:rsidP="004F74CA">
            <w:pPr>
              <w:spacing w:line="276" w:lineRule="auto"/>
              <w:rPr>
                <w:rFonts w:asciiTheme="majorHAnsi" w:hAnsiTheme="majorHAnsi" w:cstheme="majorHAnsi"/>
                <w:sz w:val="18"/>
                <w:szCs w:val="18"/>
              </w:rPr>
            </w:pPr>
            <w:r w:rsidRPr="007E56E3">
              <w:rPr>
                <w:rFonts w:asciiTheme="majorHAnsi" w:hAnsiTheme="majorHAnsi" w:cstheme="majorHAnsi"/>
                <w:sz w:val="18"/>
                <w:szCs w:val="18"/>
              </w:rPr>
              <w:t xml:space="preserve">de ligging van een explosieaandachtsgebied vuurwerk als bedoeld in artikel 5.23; </w:t>
            </w:r>
          </w:p>
          <w:p w14:paraId="4DE72B3B" w14:textId="77777777" w:rsidR="004F74CA" w:rsidRPr="004F74CA" w:rsidRDefault="004F74CA" w:rsidP="004F74CA">
            <w:pPr>
              <w:spacing w:line="276" w:lineRule="auto"/>
              <w:rPr>
                <w:rFonts w:asciiTheme="majorHAnsi" w:hAnsiTheme="majorHAnsi" w:cstheme="majorHAnsi"/>
                <w:color w:val="FF0000"/>
                <w:sz w:val="18"/>
                <w:szCs w:val="18"/>
              </w:rPr>
            </w:pPr>
            <w:r w:rsidRPr="007E56E3">
              <w:rPr>
                <w:rFonts w:asciiTheme="majorHAnsi" w:hAnsiTheme="majorHAnsi" w:cstheme="majorHAnsi"/>
                <w:sz w:val="18"/>
                <w:szCs w:val="18"/>
              </w:rPr>
              <w:t xml:space="preserve">Via Bal, artikel 3.31, eerste lid: </w:t>
            </w:r>
            <w:r w:rsidRPr="007E56E3">
              <w:rPr>
                <w:rFonts w:asciiTheme="majorHAnsi" w:hAnsiTheme="majorHAnsi" w:cstheme="majorHAnsi"/>
                <w:color w:val="FF0000"/>
                <w:sz w:val="18"/>
                <w:szCs w:val="18"/>
              </w:rPr>
              <w:t>de locaties die worden begrensd door de afstanden, bedoeld in bijlage VIII, onder A en B</w:t>
            </w:r>
          </w:p>
        </w:tc>
        <w:tc>
          <w:tcPr>
            <w:tcW w:w="2864" w:type="dxa"/>
          </w:tcPr>
          <w:p w14:paraId="38725AEA" w14:textId="77777777" w:rsidR="004F74CA" w:rsidRPr="00EE6C8C" w:rsidRDefault="004F74CA" w:rsidP="00F5401C">
            <w:pPr>
              <w:spacing w:line="276" w:lineRule="auto"/>
              <w:rPr>
                <w:rFonts w:asciiTheme="majorHAnsi" w:hAnsiTheme="majorHAnsi" w:cstheme="majorHAnsi"/>
                <w:sz w:val="16"/>
                <w:szCs w:val="16"/>
              </w:rPr>
            </w:pPr>
            <w:r>
              <w:rPr>
                <w:rFonts w:asciiTheme="majorHAnsi" w:hAnsiTheme="majorHAnsi" w:cstheme="majorHAnsi"/>
                <w:sz w:val="16"/>
                <w:szCs w:val="16"/>
              </w:rPr>
              <w:t>cf. tabel bijlage VIII, onder A</w:t>
            </w:r>
          </w:p>
        </w:tc>
        <w:tc>
          <w:tcPr>
            <w:tcW w:w="1054" w:type="dxa"/>
          </w:tcPr>
          <w:p w14:paraId="16168CBD" w14:textId="77777777" w:rsidR="004F74CA" w:rsidRDefault="004F74CA" w:rsidP="00F5401C">
            <w:pPr>
              <w:spacing w:line="276" w:lineRule="auto"/>
              <w:rPr>
                <w:rFonts w:asciiTheme="majorHAnsi" w:hAnsiTheme="majorHAnsi" w:cstheme="majorHAnsi"/>
                <w:sz w:val="16"/>
                <w:szCs w:val="16"/>
              </w:rPr>
            </w:pPr>
            <w:proofErr w:type="spellStart"/>
            <w:r>
              <w:rPr>
                <w:rFonts w:asciiTheme="majorHAnsi" w:hAnsiTheme="majorHAnsi" w:cstheme="majorHAnsi"/>
                <w:sz w:val="16"/>
                <w:szCs w:val="16"/>
              </w:rPr>
              <w:t>Polygon</w:t>
            </w:r>
            <w:proofErr w:type="spellEnd"/>
          </w:p>
          <w:p w14:paraId="7A21FE4E" w14:textId="77777777" w:rsidR="004F74CA" w:rsidRPr="00EE6C8C" w:rsidRDefault="004F74CA" w:rsidP="00F5401C">
            <w:pPr>
              <w:spacing w:line="276" w:lineRule="auto"/>
              <w:rPr>
                <w:rFonts w:asciiTheme="majorHAnsi" w:hAnsiTheme="majorHAnsi" w:cstheme="majorHAnsi"/>
                <w:sz w:val="16"/>
                <w:szCs w:val="16"/>
              </w:rPr>
            </w:pPr>
            <w:r>
              <w:rPr>
                <w:rFonts w:asciiTheme="majorHAnsi" w:hAnsiTheme="majorHAnsi" w:cstheme="majorHAnsi"/>
                <w:sz w:val="16"/>
                <w:szCs w:val="16"/>
              </w:rPr>
              <w:t>Contour</w:t>
            </w:r>
          </w:p>
          <w:p w14:paraId="0525F9C4" w14:textId="77777777" w:rsidR="004F74CA" w:rsidRPr="00EE6C8C" w:rsidRDefault="004F74CA" w:rsidP="00F5401C">
            <w:pPr>
              <w:spacing w:line="276" w:lineRule="auto"/>
              <w:rPr>
                <w:rFonts w:asciiTheme="majorHAnsi" w:hAnsiTheme="majorHAnsi" w:cstheme="majorHAnsi"/>
                <w:sz w:val="16"/>
                <w:szCs w:val="16"/>
              </w:rPr>
            </w:pPr>
          </w:p>
        </w:tc>
      </w:tr>
      <w:tr w:rsidR="004F74CA" w:rsidRPr="007E6D47" w14:paraId="6DED88BA" w14:textId="77777777" w:rsidTr="004F74CA">
        <w:tc>
          <w:tcPr>
            <w:tcW w:w="768" w:type="dxa"/>
            <w:vMerge/>
          </w:tcPr>
          <w:p w14:paraId="10768A45" w14:textId="77777777" w:rsidR="004F74CA" w:rsidRPr="00482F36" w:rsidRDefault="004F74CA" w:rsidP="00F5401C">
            <w:pPr>
              <w:spacing w:line="276" w:lineRule="auto"/>
              <w:rPr>
                <w:rFonts w:asciiTheme="majorHAnsi" w:hAnsiTheme="majorHAnsi" w:cstheme="majorHAnsi"/>
                <w:sz w:val="16"/>
                <w:szCs w:val="16"/>
              </w:rPr>
            </w:pPr>
          </w:p>
        </w:tc>
        <w:tc>
          <w:tcPr>
            <w:tcW w:w="635" w:type="dxa"/>
            <w:vMerge/>
          </w:tcPr>
          <w:p w14:paraId="2EA328CC" w14:textId="77777777" w:rsidR="004F74CA" w:rsidRPr="00482F36" w:rsidRDefault="004F74CA" w:rsidP="00F5401C">
            <w:pPr>
              <w:spacing w:line="276" w:lineRule="auto"/>
              <w:rPr>
                <w:rFonts w:asciiTheme="majorHAnsi" w:hAnsiTheme="majorHAnsi" w:cstheme="majorHAnsi"/>
                <w:sz w:val="16"/>
                <w:szCs w:val="16"/>
              </w:rPr>
            </w:pPr>
          </w:p>
        </w:tc>
        <w:tc>
          <w:tcPr>
            <w:tcW w:w="3842" w:type="dxa"/>
            <w:vMerge/>
          </w:tcPr>
          <w:p w14:paraId="4460E8A2" w14:textId="77777777" w:rsidR="004F74CA" w:rsidRPr="007E6D47" w:rsidRDefault="004F74CA" w:rsidP="00FF5513">
            <w:pPr>
              <w:spacing w:line="276" w:lineRule="auto"/>
              <w:rPr>
                <w:rFonts w:asciiTheme="majorHAnsi" w:hAnsiTheme="majorHAnsi" w:cstheme="majorHAnsi"/>
                <w:sz w:val="16"/>
                <w:szCs w:val="16"/>
              </w:rPr>
            </w:pPr>
          </w:p>
        </w:tc>
        <w:tc>
          <w:tcPr>
            <w:tcW w:w="2864" w:type="dxa"/>
          </w:tcPr>
          <w:p w14:paraId="54C9767A" w14:textId="77777777" w:rsidR="004F74CA" w:rsidRPr="007E6D47" w:rsidRDefault="004F74CA" w:rsidP="00FF5513">
            <w:pPr>
              <w:spacing w:line="276" w:lineRule="auto"/>
              <w:rPr>
                <w:rFonts w:asciiTheme="majorHAnsi" w:hAnsiTheme="majorHAnsi" w:cstheme="majorHAnsi"/>
                <w:sz w:val="16"/>
                <w:szCs w:val="16"/>
              </w:rPr>
            </w:pPr>
            <w:r>
              <w:rPr>
                <w:rFonts w:asciiTheme="majorHAnsi" w:hAnsiTheme="majorHAnsi" w:cstheme="majorHAnsi"/>
                <w:sz w:val="16"/>
                <w:szCs w:val="16"/>
              </w:rPr>
              <w:t>cf. tabel en vorm van bijlage VIII, onder B</w:t>
            </w:r>
          </w:p>
        </w:tc>
        <w:tc>
          <w:tcPr>
            <w:tcW w:w="1054" w:type="dxa"/>
          </w:tcPr>
          <w:p w14:paraId="4FD3082D" w14:textId="77777777" w:rsidR="004F74CA" w:rsidRPr="007E6D47" w:rsidRDefault="004F74CA" w:rsidP="00F5401C">
            <w:pPr>
              <w:spacing w:line="276" w:lineRule="auto"/>
              <w:rPr>
                <w:rFonts w:asciiTheme="majorHAnsi" w:hAnsiTheme="majorHAnsi" w:cstheme="majorHAnsi"/>
                <w:sz w:val="16"/>
                <w:szCs w:val="16"/>
              </w:rPr>
            </w:pPr>
            <w:proofErr w:type="spellStart"/>
            <w:r>
              <w:rPr>
                <w:rFonts w:asciiTheme="majorHAnsi" w:hAnsiTheme="majorHAnsi" w:cstheme="majorHAnsi"/>
                <w:sz w:val="16"/>
                <w:szCs w:val="16"/>
              </w:rPr>
              <w:t>Polygon</w:t>
            </w:r>
            <w:proofErr w:type="spellEnd"/>
            <w:r>
              <w:rPr>
                <w:rFonts w:asciiTheme="majorHAnsi" w:hAnsiTheme="majorHAnsi" w:cstheme="majorHAnsi"/>
                <w:sz w:val="16"/>
                <w:szCs w:val="16"/>
              </w:rPr>
              <w:t xml:space="preserve"> contour</w:t>
            </w:r>
          </w:p>
        </w:tc>
      </w:tr>
    </w:tbl>
    <w:p w14:paraId="4CA3345E" w14:textId="77777777" w:rsidR="004814E4" w:rsidRPr="00A456DC" w:rsidRDefault="004814E4" w:rsidP="00A456DC">
      <w:pPr>
        <w:rPr>
          <w:rFonts w:asciiTheme="majorHAnsi" w:eastAsiaTheme="majorEastAsia" w:hAnsiTheme="majorHAnsi" w:cstheme="majorBidi"/>
          <w:color w:val="2E74B5" w:themeColor="accent1" w:themeShade="BF"/>
          <w:sz w:val="26"/>
          <w:szCs w:val="26"/>
        </w:rPr>
      </w:pPr>
    </w:p>
    <w:sectPr w:rsidR="004814E4" w:rsidRPr="00A456DC" w:rsidSect="000403C2">
      <w:headerReference w:type="default" r:id="rId12"/>
      <w:footerReference w:type="default" r:id="rId13"/>
      <w:pgSz w:w="11906" w:h="16838" w:code="9"/>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F3791" w14:textId="77777777" w:rsidR="002B6722" w:rsidRDefault="002B6722" w:rsidP="006842D3">
      <w:pPr>
        <w:spacing w:after="0" w:line="240" w:lineRule="auto"/>
      </w:pPr>
      <w:r>
        <w:separator/>
      </w:r>
    </w:p>
  </w:endnote>
  <w:endnote w:type="continuationSeparator" w:id="0">
    <w:p w14:paraId="45181139" w14:textId="77777777" w:rsidR="002B6722" w:rsidRDefault="002B6722" w:rsidP="0068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ijksoverheidSans">
    <w:altName w:val="Corbel"/>
    <w:panose1 w:val="00000000000000000000"/>
    <w:charset w:val="00"/>
    <w:family w:val="swiss"/>
    <w:notTrueType/>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AE06D" w14:textId="77777777" w:rsidR="00D91DBF" w:rsidRPr="00B44C24" w:rsidRDefault="00D91DBF" w:rsidP="00B44C24">
    <w:pPr>
      <w:pStyle w:val="Footer"/>
      <w:jc w:val="center"/>
      <w:rPr>
        <w:sz w:val="14"/>
      </w:rPr>
    </w:pPr>
    <w:r>
      <w:rPr>
        <w:sz w:val="14"/>
      </w:rPr>
      <w:t xml:space="preserve">- </w:t>
    </w:r>
    <w:r w:rsidRPr="00B44C24">
      <w:rPr>
        <w:sz w:val="14"/>
      </w:rPr>
      <w:fldChar w:fldCharType="begin"/>
    </w:r>
    <w:r w:rsidRPr="00B44C24">
      <w:rPr>
        <w:sz w:val="14"/>
      </w:rPr>
      <w:instrText>PAGE   \* MERGEFORMAT</w:instrText>
    </w:r>
    <w:r w:rsidRPr="00B44C24">
      <w:rPr>
        <w:sz w:val="14"/>
      </w:rPr>
      <w:fldChar w:fldCharType="separate"/>
    </w:r>
    <w:r w:rsidR="00A456DC" w:rsidRPr="00A456DC">
      <w:rPr>
        <w:noProof/>
        <w:sz w:val="14"/>
        <w:lang w:val="nl-NL"/>
      </w:rPr>
      <w:t>4</w:t>
    </w:r>
    <w:r w:rsidRPr="00B44C24">
      <w:rPr>
        <w:sz w:val="14"/>
      </w:rPr>
      <w:fldChar w:fldCharType="end"/>
    </w: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D2DF3" w14:textId="77777777" w:rsidR="002B6722" w:rsidRDefault="002B6722" w:rsidP="006842D3">
      <w:pPr>
        <w:spacing w:after="0" w:line="240" w:lineRule="auto"/>
      </w:pPr>
      <w:r>
        <w:separator/>
      </w:r>
    </w:p>
  </w:footnote>
  <w:footnote w:type="continuationSeparator" w:id="0">
    <w:p w14:paraId="08591E8B" w14:textId="77777777" w:rsidR="002B6722" w:rsidRDefault="002B6722" w:rsidP="00684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D7FCB" w14:textId="77777777" w:rsidR="00D91DBF" w:rsidRPr="007849CC" w:rsidRDefault="00D91DBF" w:rsidP="007849CC">
    <w:pPr>
      <w:pStyle w:val="Heading1"/>
      <w:tabs>
        <w:tab w:val="right" w:pos="8931"/>
      </w:tabs>
      <w:spacing w:line="240" w:lineRule="auto"/>
      <w:rPr>
        <w:b/>
        <w:lang w:val="nl-NL"/>
      </w:rPr>
    </w:pPr>
    <w:r>
      <w:rPr>
        <w:b/>
        <w:lang w:val="nl-NL"/>
      </w:rPr>
      <w:t>Ac</w:t>
    </w:r>
    <w:r w:rsidRPr="007849CC">
      <w:rPr>
        <w:b/>
        <w:lang w:val="nl-NL"/>
      </w:rPr>
      <w:t>tiviteit ‘</w:t>
    </w:r>
    <w:r>
      <w:rPr>
        <w:b/>
        <w:lang w:val="nl-NL"/>
      </w:rPr>
      <w:t>Explos</w:t>
    </w:r>
    <w:r w:rsidR="006D4A4A">
      <w:rPr>
        <w:b/>
        <w:lang w:val="nl-NL"/>
      </w:rPr>
      <w:t>ieaandachtsgebieden vuurwerk’ 3</w:t>
    </w:r>
    <w:r>
      <w:rPr>
        <w:b/>
        <w:lang w:val="nl-NL"/>
      </w:rPr>
      <w:t xml:space="preserve"> </w:t>
    </w:r>
    <w:r w:rsidR="006D4A4A">
      <w:rPr>
        <w:b/>
        <w:lang w:val="nl-NL"/>
      </w:rPr>
      <w:t>okt</w:t>
    </w:r>
    <w:r>
      <w:rPr>
        <w:b/>
        <w:lang w:val="nl-NL"/>
      </w:rPr>
      <w:t xml:space="preserve"> </w:t>
    </w:r>
    <w:r w:rsidRPr="007849CC">
      <w:rPr>
        <w:b/>
        <w:lang w:val="nl-NL"/>
      </w:rPr>
      <w:t>2019</w:t>
    </w:r>
  </w:p>
  <w:p w14:paraId="07CC800B" w14:textId="77777777" w:rsidR="00D91DBF" w:rsidRPr="007849CC" w:rsidRDefault="00D91DBF" w:rsidP="007849CC">
    <w:pPr>
      <w:pBdr>
        <w:bottom w:val="single" w:sz="6" w:space="1" w:color="auto"/>
      </w:pBd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C49BB"/>
    <w:multiLevelType w:val="hybridMultilevel"/>
    <w:tmpl w:val="D1846BAC"/>
    <w:lvl w:ilvl="0" w:tplc="6878598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DE30D5"/>
    <w:multiLevelType w:val="hybridMultilevel"/>
    <w:tmpl w:val="203876C2"/>
    <w:lvl w:ilvl="0" w:tplc="6878598C">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CA94F3B"/>
    <w:multiLevelType w:val="hybridMultilevel"/>
    <w:tmpl w:val="886890AE"/>
    <w:lvl w:ilvl="0" w:tplc="6878598C">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8663CF8"/>
    <w:multiLevelType w:val="hybridMultilevel"/>
    <w:tmpl w:val="6EF8AF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3E53471"/>
    <w:multiLevelType w:val="hybridMultilevel"/>
    <w:tmpl w:val="35960D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94F41B2"/>
    <w:multiLevelType w:val="hybridMultilevel"/>
    <w:tmpl w:val="07AA60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5B4713"/>
    <w:multiLevelType w:val="hybridMultilevel"/>
    <w:tmpl w:val="DF52CA2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4"/>
  </w:num>
  <w:num w:numId="2">
    <w:abstractNumId w:val="0"/>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A2A"/>
    <w:rsid w:val="00014B16"/>
    <w:rsid w:val="00027652"/>
    <w:rsid w:val="00032F06"/>
    <w:rsid w:val="00035962"/>
    <w:rsid w:val="000403C2"/>
    <w:rsid w:val="000474EF"/>
    <w:rsid w:val="00095F42"/>
    <w:rsid w:val="000C7F39"/>
    <w:rsid w:val="0012632D"/>
    <w:rsid w:val="00133859"/>
    <w:rsid w:val="00162454"/>
    <w:rsid w:val="00173D44"/>
    <w:rsid w:val="001D53BE"/>
    <w:rsid w:val="001F40E5"/>
    <w:rsid w:val="00240056"/>
    <w:rsid w:val="0024467B"/>
    <w:rsid w:val="00245A62"/>
    <w:rsid w:val="00247BDC"/>
    <w:rsid w:val="002679A9"/>
    <w:rsid w:val="002A7152"/>
    <w:rsid w:val="002B6722"/>
    <w:rsid w:val="002C4A2A"/>
    <w:rsid w:val="002D198C"/>
    <w:rsid w:val="002F6015"/>
    <w:rsid w:val="00304C4E"/>
    <w:rsid w:val="00310B9E"/>
    <w:rsid w:val="0031237E"/>
    <w:rsid w:val="00356E4C"/>
    <w:rsid w:val="003803C6"/>
    <w:rsid w:val="00387247"/>
    <w:rsid w:val="00390205"/>
    <w:rsid w:val="003A2FD0"/>
    <w:rsid w:val="003C729B"/>
    <w:rsid w:val="003E179E"/>
    <w:rsid w:val="003E1B6C"/>
    <w:rsid w:val="00402A67"/>
    <w:rsid w:val="0043498C"/>
    <w:rsid w:val="004814E4"/>
    <w:rsid w:val="00482F36"/>
    <w:rsid w:val="00484847"/>
    <w:rsid w:val="004A58CC"/>
    <w:rsid w:val="004A695A"/>
    <w:rsid w:val="004C5B54"/>
    <w:rsid w:val="004C741E"/>
    <w:rsid w:val="004D703B"/>
    <w:rsid w:val="004E66D3"/>
    <w:rsid w:val="004F74CA"/>
    <w:rsid w:val="0050373E"/>
    <w:rsid w:val="00510B7F"/>
    <w:rsid w:val="00513448"/>
    <w:rsid w:val="0054655B"/>
    <w:rsid w:val="005877CF"/>
    <w:rsid w:val="005D226F"/>
    <w:rsid w:val="00617768"/>
    <w:rsid w:val="00623D3E"/>
    <w:rsid w:val="00682129"/>
    <w:rsid w:val="006842D3"/>
    <w:rsid w:val="0069656B"/>
    <w:rsid w:val="006A7341"/>
    <w:rsid w:val="006D4A4A"/>
    <w:rsid w:val="00707770"/>
    <w:rsid w:val="00755F26"/>
    <w:rsid w:val="007849CC"/>
    <w:rsid w:val="007D1BCA"/>
    <w:rsid w:val="007E4EA3"/>
    <w:rsid w:val="007E56E3"/>
    <w:rsid w:val="007E6D47"/>
    <w:rsid w:val="00803594"/>
    <w:rsid w:val="00855B13"/>
    <w:rsid w:val="00860BF8"/>
    <w:rsid w:val="008B2E14"/>
    <w:rsid w:val="008D18D7"/>
    <w:rsid w:val="008D66B2"/>
    <w:rsid w:val="008D7D15"/>
    <w:rsid w:val="008E7257"/>
    <w:rsid w:val="00916D96"/>
    <w:rsid w:val="009211D3"/>
    <w:rsid w:val="009264B4"/>
    <w:rsid w:val="0093470C"/>
    <w:rsid w:val="00946444"/>
    <w:rsid w:val="009504D1"/>
    <w:rsid w:val="00994E3D"/>
    <w:rsid w:val="009960D4"/>
    <w:rsid w:val="009B00D2"/>
    <w:rsid w:val="009E6710"/>
    <w:rsid w:val="009F58F9"/>
    <w:rsid w:val="00A024A5"/>
    <w:rsid w:val="00A0724C"/>
    <w:rsid w:val="00A34FAF"/>
    <w:rsid w:val="00A44491"/>
    <w:rsid w:val="00A456DC"/>
    <w:rsid w:val="00A734A9"/>
    <w:rsid w:val="00A77034"/>
    <w:rsid w:val="00A8093E"/>
    <w:rsid w:val="00AA2299"/>
    <w:rsid w:val="00AE15A5"/>
    <w:rsid w:val="00AF62BE"/>
    <w:rsid w:val="00B06701"/>
    <w:rsid w:val="00B2154A"/>
    <w:rsid w:val="00B25950"/>
    <w:rsid w:val="00B43EF4"/>
    <w:rsid w:val="00B44C24"/>
    <w:rsid w:val="00B561F4"/>
    <w:rsid w:val="00B70DF6"/>
    <w:rsid w:val="00B723B2"/>
    <w:rsid w:val="00B9030E"/>
    <w:rsid w:val="00B903E1"/>
    <w:rsid w:val="00BC0B37"/>
    <w:rsid w:val="00BD799C"/>
    <w:rsid w:val="00BE5405"/>
    <w:rsid w:val="00C10146"/>
    <w:rsid w:val="00C62CDA"/>
    <w:rsid w:val="00C63B30"/>
    <w:rsid w:val="00C83092"/>
    <w:rsid w:val="00CA2D7B"/>
    <w:rsid w:val="00CE4DD6"/>
    <w:rsid w:val="00CF21DB"/>
    <w:rsid w:val="00D21CDE"/>
    <w:rsid w:val="00D33EE0"/>
    <w:rsid w:val="00D4001B"/>
    <w:rsid w:val="00D40370"/>
    <w:rsid w:val="00D70A58"/>
    <w:rsid w:val="00D8157E"/>
    <w:rsid w:val="00D855E4"/>
    <w:rsid w:val="00D91DBF"/>
    <w:rsid w:val="00DD0EC0"/>
    <w:rsid w:val="00DE2D7C"/>
    <w:rsid w:val="00DF4315"/>
    <w:rsid w:val="00E42F34"/>
    <w:rsid w:val="00E56983"/>
    <w:rsid w:val="00E6322E"/>
    <w:rsid w:val="00EE6C8C"/>
    <w:rsid w:val="00EF6A6D"/>
    <w:rsid w:val="00F369A0"/>
    <w:rsid w:val="00F5401C"/>
    <w:rsid w:val="00F55DFD"/>
    <w:rsid w:val="00F6312B"/>
    <w:rsid w:val="00F65915"/>
    <w:rsid w:val="00FF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100F3D"/>
  <w15:chartTrackingRefBased/>
  <w15:docId w15:val="{9D69E1A6-E50A-4ECF-8087-D511AB90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652"/>
    <w:rPr>
      <w:rFonts w:asciiTheme="minorHAnsi" w:eastAsiaTheme="minorEastAsia" w:hAnsiTheme="minorHAnsi"/>
      <w:sz w:val="22"/>
      <w:lang w:val="nl-NL" w:eastAsia="nl-NL"/>
    </w:rPr>
  </w:style>
  <w:style w:type="paragraph" w:styleId="Heading1">
    <w:name w:val="heading 1"/>
    <w:basedOn w:val="Normal"/>
    <w:next w:val="Normal"/>
    <w:link w:val="Heading1Char"/>
    <w:uiPriority w:val="9"/>
    <w:qFormat/>
    <w:rsid w:val="00E6322E"/>
    <w:pPr>
      <w:keepNext/>
      <w:keepLines/>
      <w:spacing w:before="240" w:after="0"/>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E6322E"/>
    <w:pPr>
      <w:keepNext/>
      <w:keepLines/>
      <w:spacing w:before="40" w:after="0"/>
      <w:outlineLvl w:val="1"/>
    </w:pPr>
    <w:rPr>
      <w:rFonts w:asciiTheme="majorHAnsi" w:eastAsiaTheme="majorEastAsia" w:hAnsiTheme="majorHAnsi" w:cstheme="majorBidi"/>
      <w:color w:val="2E74B5"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C4A2A"/>
    <w:pPr>
      <w:ind w:left="720"/>
      <w:contextualSpacing/>
    </w:pPr>
    <w:rPr>
      <w:rFonts w:ascii="Verdana" w:eastAsiaTheme="minorHAnsi" w:hAnsi="Verdana"/>
      <w:sz w:val="18"/>
      <w:lang w:val="en-US" w:eastAsia="en-US"/>
    </w:rPr>
  </w:style>
  <w:style w:type="table" w:styleId="TableGrid">
    <w:name w:val="Table Grid"/>
    <w:basedOn w:val="TableNormal"/>
    <w:uiPriority w:val="39"/>
    <w:rsid w:val="00684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42D3"/>
    <w:pPr>
      <w:spacing w:after="0" w:line="240" w:lineRule="auto"/>
    </w:pPr>
    <w:rPr>
      <w:rFonts w:ascii="RijksoverheidSans" w:eastAsiaTheme="minorHAnsi" w:hAnsi="RijksoverheidSans"/>
      <w:sz w:val="20"/>
      <w:szCs w:val="20"/>
      <w:lang w:eastAsia="en-US"/>
    </w:rPr>
  </w:style>
  <w:style w:type="character" w:customStyle="1" w:styleId="FootnoteTextChar">
    <w:name w:val="Footnote Text Char"/>
    <w:basedOn w:val="DefaultParagraphFont"/>
    <w:link w:val="FootnoteText"/>
    <w:uiPriority w:val="99"/>
    <w:semiHidden/>
    <w:rsid w:val="006842D3"/>
    <w:rPr>
      <w:rFonts w:ascii="RijksoverheidSans" w:hAnsi="RijksoverheidSans"/>
      <w:sz w:val="20"/>
      <w:szCs w:val="20"/>
      <w:lang w:val="nl-NL"/>
    </w:rPr>
  </w:style>
  <w:style w:type="character" w:styleId="FootnoteReference">
    <w:name w:val="footnote reference"/>
    <w:basedOn w:val="DefaultParagraphFont"/>
    <w:uiPriority w:val="99"/>
    <w:semiHidden/>
    <w:unhideWhenUsed/>
    <w:rsid w:val="006842D3"/>
    <w:rPr>
      <w:vertAlign w:val="superscript"/>
    </w:rPr>
  </w:style>
  <w:style w:type="character" w:customStyle="1" w:styleId="Heading1Char">
    <w:name w:val="Heading 1 Char"/>
    <w:basedOn w:val="DefaultParagraphFont"/>
    <w:link w:val="Heading1"/>
    <w:uiPriority w:val="9"/>
    <w:rsid w:val="00E6322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6322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C729B"/>
    <w:pPr>
      <w:spacing w:after="0" w:line="240" w:lineRule="auto"/>
    </w:pPr>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3C729B"/>
    <w:rPr>
      <w:rFonts w:ascii="Segoe UI" w:hAnsi="Segoe UI" w:cs="Segoe UI"/>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rsid w:val="003C729B"/>
  </w:style>
  <w:style w:type="paragraph" w:styleId="Header">
    <w:name w:val="header"/>
    <w:basedOn w:val="Normal"/>
    <w:link w:val="HeaderChar"/>
    <w:uiPriority w:val="99"/>
    <w:unhideWhenUsed/>
    <w:rsid w:val="007849CC"/>
    <w:pPr>
      <w:tabs>
        <w:tab w:val="center" w:pos="4536"/>
        <w:tab w:val="right" w:pos="9072"/>
      </w:tabs>
      <w:spacing w:after="0" w:line="240" w:lineRule="auto"/>
    </w:pPr>
    <w:rPr>
      <w:rFonts w:ascii="Verdana" w:eastAsiaTheme="minorHAnsi" w:hAnsi="Verdana"/>
      <w:sz w:val="18"/>
      <w:lang w:val="en-US" w:eastAsia="en-US"/>
    </w:rPr>
  </w:style>
  <w:style w:type="character" w:customStyle="1" w:styleId="HeaderChar">
    <w:name w:val="Header Char"/>
    <w:basedOn w:val="DefaultParagraphFont"/>
    <w:link w:val="Header"/>
    <w:uiPriority w:val="99"/>
    <w:rsid w:val="007849CC"/>
  </w:style>
  <w:style w:type="paragraph" w:styleId="Footer">
    <w:name w:val="footer"/>
    <w:basedOn w:val="Normal"/>
    <w:link w:val="FooterChar"/>
    <w:uiPriority w:val="99"/>
    <w:unhideWhenUsed/>
    <w:rsid w:val="007849CC"/>
    <w:pPr>
      <w:tabs>
        <w:tab w:val="center" w:pos="4536"/>
        <w:tab w:val="right" w:pos="9072"/>
      </w:tabs>
      <w:spacing w:after="0" w:line="240" w:lineRule="auto"/>
    </w:pPr>
    <w:rPr>
      <w:rFonts w:ascii="Verdana" w:eastAsiaTheme="minorHAnsi" w:hAnsi="Verdana"/>
      <w:sz w:val="18"/>
      <w:lang w:val="en-US" w:eastAsia="en-US"/>
    </w:rPr>
  </w:style>
  <w:style w:type="character" w:customStyle="1" w:styleId="FooterChar">
    <w:name w:val="Footer Char"/>
    <w:basedOn w:val="DefaultParagraphFont"/>
    <w:link w:val="Footer"/>
    <w:uiPriority w:val="99"/>
    <w:rsid w:val="007849CC"/>
  </w:style>
  <w:style w:type="paragraph" w:customStyle="1" w:styleId="Default">
    <w:name w:val="Default"/>
    <w:rsid w:val="00C63B30"/>
    <w:pPr>
      <w:autoSpaceDE w:val="0"/>
      <w:autoSpaceDN w:val="0"/>
      <w:adjustRightInd w:val="0"/>
      <w:spacing w:after="0" w:line="240" w:lineRule="auto"/>
    </w:pPr>
    <w:rPr>
      <w:rFonts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F1C6E413A74F40A73AAB279D9B82BB" ma:contentTypeVersion="7" ma:contentTypeDescription="Een nieuw document maken." ma:contentTypeScope="" ma:versionID="50b808e99ad72038d0ac5011e9298c6f">
  <xsd:schema xmlns:xsd="http://www.w3.org/2001/XMLSchema" xmlns:xs="http://www.w3.org/2001/XMLSchema" xmlns:p="http://schemas.microsoft.com/office/2006/metadata/properties" xmlns:ns2="4074f2ea-de07-49e5-807e-e7401fd52671" targetNamespace="http://schemas.microsoft.com/office/2006/metadata/properties" ma:root="true" ma:fieldsID="66ad55753357ead7947ad8843b7b68f6" ns2:_="">
    <xsd:import namespace="4074f2ea-de07-49e5-807e-e7401fd526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4f2ea-de07-49e5-807e-e7401fd52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03A2-24C1-45AE-9464-135AA2035422}">
  <ds:schemaRef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4074f2ea-de07-49e5-807e-e7401fd52671"/>
  </ds:schemaRefs>
</ds:datastoreItem>
</file>

<file path=customXml/itemProps2.xml><?xml version="1.0" encoding="utf-8"?>
<ds:datastoreItem xmlns:ds="http://schemas.openxmlformats.org/officeDocument/2006/customXml" ds:itemID="{C5419E92-CA19-4553-9AD5-8E743AFFF805}">
  <ds:schemaRefs>
    <ds:schemaRef ds:uri="http://schemas.microsoft.com/sharepoint/v3/contenttype/forms"/>
  </ds:schemaRefs>
</ds:datastoreItem>
</file>

<file path=customXml/itemProps3.xml><?xml version="1.0" encoding="utf-8"?>
<ds:datastoreItem xmlns:ds="http://schemas.openxmlformats.org/officeDocument/2006/customXml" ds:itemID="{BD5D6044-F36B-4F99-8754-163ACA76E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4f2ea-de07-49e5-807e-e7401fd52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5BA402-B3FF-4E0B-9C5C-C1D62376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F643D07B</Template>
  <TotalTime>0</TotalTime>
  <Pages>4</Pages>
  <Words>1272</Words>
  <Characters>6996</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Rijksoverheid</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Dobbelsteen, A.J.H.M. (Rianne) - DGMI</dc:creator>
  <cp:keywords/>
  <dc:description/>
  <cp:lastModifiedBy>Channah Betgen</cp:lastModifiedBy>
  <cp:revision>2</cp:revision>
  <cp:lastPrinted>2019-09-02T09:17:00Z</cp:lastPrinted>
  <dcterms:created xsi:type="dcterms:W3CDTF">2019-11-15T08:15:00Z</dcterms:created>
  <dcterms:modified xsi:type="dcterms:W3CDTF">2019-11-15T08:15:00Z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0x0101000BF1C6E413A74F40A73AAB279D9B82BB</vt:lpwstr>
  </property>
</Properties>
</file>