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71" w:rsidRDefault="0080606E" w:rsidP="007C0AEA">
      <w:pPr>
        <w:spacing w:after="0" w:line="276" w:lineRule="auto"/>
      </w:pPr>
      <w:r w:rsidRPr="009C1894">
        <w:t>Verslag REV bron</w:t>
      </w:r>
      <w:r w:rsidR="00E17871" w:rsidRPr="009C1894">
        <w:t xml:space="preserve">houdersoverleg 25 februari 2021 </w:t>
      </w:r>
      <w:r w:rsidR="00E17871" w:rsidRPr="009C1894">
        <w:br/>
        <w:t xml:space="preserve">Locatie: </w:t>
      </w:r>
      <w:r w:rsidR="005721E8">
        <w:t>T</w:t>
      </w:r>
      <w:r w:rsidR="00E17871" w:rsidRPr="009C1894">
        <w:t xml:space="preserve">eams </w:t>
      </w:r>
      <w:r w:rsidR="00E17871" w:rsidRPr="009C1894">
        <w:br/>
        <w:t>Aanwezigen</w:t>
      </w:r>
      <w:r w:rsidR="005D10BD">
        <w:t>: zie deelnemerslijst bijlage 3</w:t>
      </w:r>
    </w:p>
    <w:p w:rsidR="00396AAC" w:rsidRPr="009C1894" w:rsidRDefault="00396AAC" w:rsidP="007C0AEA">
      <w:pPr>
        <w:spacing w:after="0" w:line="276" w:lineRule="auto"/>
      </w:pPr>
    </w:p>
    <w:p w:rsidR="00A8697A" w:rsidRDefault="00A8697A" w:rsidP="007C0AEA">
      <w:pPr>
        <w:spacing w:after="0" w:line="276" w:lineRule="auto"/>
      </w:pPr>
      <w:r w:rsidRPr="00A8697A">
        <w:rPr>
          <w:b/>
        </w:rPr>
        <w:t>Teams meeting open en welkom door Rianne Dobbelsteen (</w:t>
      </w:r>
      <w:r w:rsidR="00396AAC">
        <w:rPr>
          <w:b/>
        </w:rPr>
        <w:t>Coördinator REV</w:t>
      </w:r>
      <w:r w:rsidR="00396AAC" w:rsidRPr="00A8697A">
        <w:rPr>
          <w:b/>
        </w:rPr>
        <w:t xml:space="preserve"> </w:t>
      </w:r>
      <w:r w:rsidRPr="00A8697A">
        <w:rPr>
          <w:b/>
        </w:rPr>
        <w:t xml:space="preserve">bij </w:t>
      </w:r>
      <w:r w:rsidR="00396AAC">
        <w:rPr>
          <w:b/>
        </w:rPr>
        <w:t xml:space="preserve">het </w:t>
      </w:r>
      <w:r w:rsidRPr="00A8697A">
        <w:rPr>
          <w:b/>
        </w:rPr>
        <w:t>Min</w:t>
      </w:r>
      <w:r w:rsidR="00396AAC">
        <w:rPr>
          <w:b/>
        </w:rPr>
        <w:t>isterie</w:t>
      </w:r>
      <w:r w:rsidRPr="00A8697A">
        <w:rPr>
          <w:b/>
        </w:rPr>
        <w:t xml:space="preserve"> van IenW)</w:t>
      </w:r>
      <w:r>
        <w:br/>
        <w:t xml:space="preserve">Rianne heet iedereen welkom bij </w:t>
      </w:r>
      <w:r w:rsidR="00396AAC">
        <w:t xml:space="preserve">het </w:t>
      </w:r>
      <w:r>
        <w:t>derde bronhouder</w:t>
      </w:r>
      <w:r w:rsidR="00CE585E">
        <w:t>soverleg over het Register E</w:t>
      </w:r>
      <w:r>
        <w:t xml:space="preserve">xterne </w:t>
      </w:r>
      <w:r w:rsidR="00CE585E">
        <w:t>V</w:t>
      </w:r>
      <w:r>
        <w:t>eiligheidsrisico’s</w:t>
      </w:r>
      <w:r w:rsidR="00CE585E">
        <w:t xml:space="preserve"> (REV)</w:t>
      </w:r>
      <w:r>
        <w:t xml:space="preserve">. Rianne stelt de agenda vast. </w:t>
      </w:r>
    </w:p>
    <w:p w:rsidR="00396AAC" w:rsidRDefault="00396AAC" w:rsidP="007C0AEA">
      <w:pPr>
        <w:spacing w:after="0" w:line="276" w:lineRule="auto"/>
      </w:pPr>
    </w:p>
    <w:p w:rsidR="00A8697A" w:rsidRDefault="002D33FA" w:rsidP="007C0AEA">
      <w:pPr>
        <w:spacing w:after="0" w:line="276" w:lineRule="auto"/>
        <w:rPr>
          <w:b/>
        </w:rPr>
      </w:pPr>
      <w:r>
        <w:rPr>
          <w:b/>
        </w:rPr>
        <w:t>Besproken onderwerpen:</w:t>
      </w:r>
    </w:p>
    <w:p w:rsidR="00396AAC" w:rsidRDefault="00396AAC" w:rsidP="007C0AEA">
      <w:pPr>
        <w:spacing w:after="0" w:line="276" w:lineRule="auto"/>
        <w:rPr>
          <w:b/>
        </w:rPr>
      </w:pPr>
    </w:p>
    <w:p w:rsidR="00A8697A" w:rsidRPr="00ED6299" w:rsidRDefault="00ED6299" w:rsidP="007C0AEA">
      <w:pPr>
        <w:spacing w:after="0" w:line="276" w:lineRule="auto"/>
        <w:rPr>
          <w:b/>
        </w:rPr>
      </w:pPr>
      <w:r>
        <w:rPr>
          <w:b/>
        </w:rPr>
        <w:t>Website</w:t>
      </w:r>
      <w:r>
        <w:rPr>
          <w:b/>
        </w:rPr>
        <w:br/>
      </w:r>
      <w:r w:rsidR="00A8697A">
        <w:t xml:space="preserve">De website </w:t>
      </w:r>
      <w:hyperlink r:id="rId5" w:history="1">
        <w:r w:rsidR="00A8697A">
          <w:rPr>
            <w:rStyle w:val="Hyperlink"/>
          </w:rPr>
          <w:t>Register Externe Veiligheid</w:t>
        </w:r>
        <w:r w:rsidR="00892808">
          <w:rPr>
            <w:rStyle w:val="Hyperlink"/>
          </w:rPr>
          <w:t>s</w:t>
        </w:r>
        <w:r w:rsidR="00A8697A">
          <w:rPr>
            <w:rStyle w:val="Hyperlink"/>
          </w:rPr>
          <w:t>risico's | Register externe veiligheid</w:t>
        </w:r>
      </w:hyperlink>
      <w:r w:rsidR="00DE225E">
        <w:t xml:space="preserve"> is aangepast en aangevuld</w:t>
      </w:r>
      <w:r w:rsidR="00A8697A">
        <w:t xml:space="preserve"> met nieuwe informatie. Met name de webpagina </w:t>
      </w:r>
      <w:hyperlink r:id="rId6" w:history="1">
        <w:r w:rsidR="00A8697A">
          <w:rPr>
            <w:rStyle w:val="Hyperlink"/>
          </w:rPr>
          <w:t>Activiteiten | Register externe veiligheid</w:t>
        </w:r>
      </w:hyperlink>
      <w:r w:rsidR="00A8697A">
        <w:t xml:space="preserve"> is geüpdatet. Op deze pagina is beschikbaar een aanleverinstructie voor het REV, </w:t>
      </w:r>
      <w:r w:rsidR="00A8697A">
        <w:lastRenderedPageBreak/>
        <w:t>een aanleverinstruc</w:t>
      </w:r>
      <w:r w:rsidR="00547A0A">
        <w:t xml:space="preserve">tie voor het aanleverportaal, </w:t>
      </w:r>
      <w:r w:rsidR="00A8697A">
        <w:t xml:space="preserve">voorbeeld </w:t>
      </w:r>
      <w:r w:rsidR="00547A0A">
        <w:t>opbouw JSON bestand</w:t>
      </w:r>
      <w:r w:rsidR="00DE225E">
        <w:t>en</w:t>
      </w:r>
      <w:r w:rsidR="00A8697A">
        <w:t xml:space="preserve"> per</w:t>
      </w:r>
      <w:r w:rsidR="00547A0A">
        <w:t xml:space="preserve"> activiteit, het totale informatiemodel en het informatiemodel per activiteit. </w:t>
      </w:r>
    </w:p>
    <w:p w:rsidR="00307974" w:rsidRDefault="00D21590" w:rsidP="007C0AEA">
      <w:pPr>
        <w:pStyle w:val="Lijstalinea"/>
        <w:numPr>
          <w:ilvl w:val="0"/>
          <w:numId w:val="4"/>
        </w:numPr>
        <w:spacing w:after="0" w:line="276" w:lineRule="auto"/>
      </w:pPr>
      <w:r>
        <w:t>Bronhouders geven aan dat d</w:t>
      </w:r>
      <w:r w:rsidR="005C7446">
        <w:t xml:space="preserve">e </w:t>
      </w:r>
      <w:r w:rsidR="00307974">
        <w:t xml:space="preserve">website een te eenvoudige voorstelling </w:t>
      </w:r>
      <w:r>
        <w:t xml:space="preserve">geeft </w:t>
      </w:r>
      <w:r w:rsidR="00307974">
        <w:t>van</w:t>
      </w:r>
      <w:r w:rsidR="005C7446">
        <w:t xml:space="preserve"> de hoeveelheid werk</w:t>
      </w:r>
      <w:r w:rsidR="00F8460F">
        <w:t xml:space="preserve"> </w:t>
      </w:r>
      <w:r w:rsidR="00A40B26">
        <w:t xml:space="preserve">die </w:t>
      </w:r>
      <w:r w:rsidR="00F8460F">
        <w:t>nodig is</w:t>
      </w:r>
      <w:r w:rsidR="005C7446">
        <w:t xml:space="preserve"> voor aansluiten</w:t>
      </w:r>
      <w:r w:rsidR="00307974">
        <w:t xml:space="preserve"> en aanleveren van data aan het REV.</w:t>
      </w:r>
      <w:r w:rsidR="00AB71C6">
        <w:t xml:space="preserve"> </w:t>
      </w:r>
      <w:r w:rsidR="00A40B26">
        <w:t xml:space="preserve">Aansluiten vraagt meer dan het simpelweg </w:t>
      </w:r>
      <w:r w:rsidR="00AB71C6">
        <w:t>aanleveren van data</w:t>
      </w:r>
      <w:r w:rsidR="00A40B26">
        <w:t xml:space="preserve"> via een koppeling</w:t>
      </w:r>
      <w:r w:rsidR="00AB71C6">
        <w:t>.</w:t>
      </w:r>
      <w:r w:rsidR="00307974">
        <w:t xml:space="preserve"> </w:t>
      </w:r>
      <w:r w:rsidR="00A40B26">
        <w:t xml:space="preserve">Veel tijd en werk gaat zitten in het </w:t>
      </w:r>
      <w:r w:rsidR="00307974">
        <w:t>inventariseren van data, het aanpassen</w:t>
      </w:r>
      <w:r w:rsidR="00A40B26">
        <w:t xml:space="preserve"> of aankopen</w:t>
      </w:r>
      <w:r w:rsidR="00307974">
        <w:t xml:space="preserve"> van </w:t>
      </w:r>
      <w:r w:rsidR="00A40B26">
        <w:t xml:space="preserve">een </w:t>
      </w:r>
      <w:r w:rsidR="00307974">
        <w:t xml:space="preserve">bronsysteem </w:t>
      </w:r>
      <w:r w:rsidR="00A40B26">
        <w:t>en het structureren van de data</w:t>
      </w:r>
      <w:r w:rsidR="00307974">
        <w:t>.</w:t>
      </w:r>
      <w:r w:rsidR="00AB71C6">
        <w:t xml:space="preserve"> </w:t>
      </w:r>
      <w:r w:rsidR="00A40B26">
        <w:t>Het stappenplan op de website geeft wel een overzicht van de benodigde stappen, maar geen inzage in hoeveel werk het is.</w:t>
      </w:r>
      <w:r>
        <w:t xml:space="preserve"> Er volgt nog een inventarisatie van de verwachte tijdbesteding. Infomil komt daarvoor met een vragenlijst (Quickscan)</w:t>
      </w:r>
    </w:p>
    <w:p w:rsidR="00396AAC" w:rsidRDefault="00396AAC" w:rsidP="007C0AEA">
      <w:pPr>
        <w:spacing w:after="0" w:line="276" w:lineRule="auto"/>
        <w:rPr>
          <w:b/>
        </w:rPr>
      </w:pPr>
    </w:p>
    <w:p w:rsidR="005A285C" w:rsidRPr="00ED6299" w:rsidRDefault="00ED6299" w:rsidP="007C0AEA">
      <w:pPr>
        <w:spacing w:after="0" w:line="276" w:lineRule="auto"/>
        <w:rPr>
          <w:b/>
        </w:rPr>
      </w:pPr>
      <w:r>
        <w:rPr>
          <w:b/>
        </w:rPr>
        <w:t>Gegevenswoordenboek</w:t>
      </w:r>
      <w:r>
        <w:rPr>
          <w:b/>
        </w:rPr>
        <w:br/>
      </w:r>
      <w:r w:rsidR="00547A0A">
        <w:t>Het gegevenswoordenboek is momenteel in concept af. Na een con</w:t>
      </w:r>
      <w:r w:rsidR="00547A0A">
        <w:lastRenderedPageBreak/>
        <w:t xml:space="preserve">sultatieronde </w:t>
      </w:r>
      <w:r w:rsidR="00D21590">
        <w:t xml:space="preserve">waren er </w:t>
      </w:r>
      <w:r w:rsidR="00547A0A">
        <w:t>nog wat opmerkingen. Antea verwerkt momenteel de</w:t>
      </w:r>
      <w:r w:rsidR="00D21590">
        <w:t>ze</w:t>
      </w:r>
      <w:r w:rsidR="00547A0A">
        <w:t xml:space="preserve"> laatste opmerkingen in het gegevenswoord</w:t>
      </w:r>
      <w:r w:rsidR="00DE225E">
        <w:t>enboek</w:t>
      </w:r>
      <w:r w:rsidR="00547A0A">
        <w:t xml:space="preserve">. Het beheer van het gegevenswoordenboek en het informatiemodel </w:t>
      </w:r>
      <w:r w:rsidR="00A40B26">
        <w:t xml:space="preserve">wordt </w:t>
      </w:r>
      <w:r w:rsidR="00DE225E">
        <w:t xml:space="preserve">binnenkort </w:t>
      </w:r>
      <w:r w:rsidR="00547A0A">
        <w:t xml:space="preserve">aan </w:t>
      </w:r>
      <w:r w:rsidR="00A40B26">
        <w:t>Geonovum</w:t>
      </w:r>
      <w:r w:rsidR="00547A0A">
        <w:t xml:space="preserve"> overgedragen. </w:t>
      </w:r>
      <w:r w:rsidR="00A40B26">
        <w:t>Geonovum</w:t>
      </w:r>
      <w:r w:rsidR="00DE225E">
        <w:t xml:space="preserve"> beheert ook de standaarden voor de Omgevingswet.</w:t>
      </w:r>
      <w:r w:rsidR="00110680" w:rsidRPr="00110680">
        <w:t xml:space="preserve"> </w:t>
      </w:r>
      <w:r w:rsidR="00A40B26">
        <w:t>Geonovum</w:t>
      </w:r>
      <w:r w:rsidR="00110680" w:rsidRPr="00110680">
        <w:t xml:space="preserve"> gaat </w:t>
      </w:r>
      <w:r w:rsidR="00110680">
        <w:t xml:space="preserve">een </w:t>
      </w:r>
      <w:r w:rsidR="00110680" w:rsidRPr="00110680">
        <w:t>beheerorganisatie opzetten voor</w:t>
      </w:r>
      <w:r w:rsidR="00110680">
        <w:t xml:space="preserve"> </w:t>
      </w:r>
      <w:r w:rsidR="00F8460F">
        <w:t>het</w:t>
      </w:r>
      <w:r w:rsidR="00110680" w:rsidRPr="00110680">
        <w:t xml:space="preserve"> gegevenswoordenboek en</w:t>
      </w:r>
      <w:r w:rsidR="00110680">
        <w:t xml:space="preserve"> de</w:t>
      </w:r>
      <w:r w:rsidR="00110680" w:rsidRPr="00110680">
        <w:t xml:space="preserve"> modellen</w:t>
      </w:r>
      <w:r w:rsidR="007E13B5">
        <w:t xml:space="preserve"> (IMEV’s)</w:t>
      </w:r>
      <w:r w:rsidR="00110680">
        <w:t>.</w:t>
      </w:r>
    </w:p>
    <w:p w:rsidR="00F0792B" w:rsidRDefault="00F0792B" w:rsidP="007C0AEA">
      <w:pPr>
        <w:pStyle w:val="Lijstalinea"/>
        <w:numPr>
          <w:ilvl w:val="0"/>
          <w:numId w:val="4"/>
        </w:numPr>
        <w:spacing w:after="0" w:line="276" w:lineRule="auto"/>
      </w:pPr>
      <w:r>
        <w:t xml:space="preserve">Er is veel behoefte </w:t>
      </w:r>
      <w:r w:rsidR="009E1DD8">
        <w:t xml:space="preserve">aan </w:t>
      </w:r>
      <w:r w:rsidR="005A285C">
        <w:t xml:space="preserve">het </w:t>
      </w:r>
      <w:r w:rsidR="009E1DD8">
        <w:t xml:space="preserve">gegevenswoordenboek. </w:t>
      </w:r>
      <w:r w:rsidR="005A285C">
        <w:t xml:space="preserve">Zonder het gegevenswoordenboek kunnen </w:t>
      </w:r>
      <w:r w:rsidR="00A40B26">
        <w:t xml:space="preserve">bronhouders </w:t>
      </w:r>
      <w:r w:rsidR="005A285C">
        <w:t xml:space="preserve">zowel intern (registeren van EV data in een eventuele eigen database) als extern (aanpassen van </w:t>
      </w:r>
      <w:r w:rsidR="00A40B26">
        <w:t>zaak</w:t>
      </w:r>
      <w:r w:rsidR="005A285C">
        <w:t>systeem) niet verder. Verzoek van bronhouders i</w:t>
      </w:r>
      <w:r w:rsidR="00F8460F">
        <w:t xml:space="preserve">s om </w:t>
      </w:r>
      <w:r w:rsidR="00A40B26">
        <w:t xml:space="preserve">de </w:t>
      </w:r>
      <w:r w:rsidR="00F8460F">
        <w:t>beschikbare concept</w:t>
      </w:r>
      <w:r w:rsidR="005A285C">
        <w:t>versie te delen</w:t>
      </w:r>
      <w:r w:rsidR="00762D03">
        <w:t>, zodat meer duidelijkheid ontstaat</w:t>
      </w:r>
      <w:r w:rsidR="005A285C">
        <w:t xml:space="preserve">. </w:t>
      </w:r>
      <w:r w:rsidR="00F8460F">
        <w:t xml:space="preserve">Eventuele </w:t>
      </w:r>
      <w:r w:rsidR="005A285C">
        <w:t xml:space="preserve">veranderingen in het gegevenswoordenboek kunnen later meegenomen worden. </w:t>
      </w:r>
    </w:p>
    <w:p w:rsidR="00B05BFF" w:rsidRDefault="00C754F0" w:rsidP="007C0AEA">
      <w:pPr>
        <w:pStyle w:val="Lijstalinea"/>
        <w:numPr>
          <w:ilvl w:val="0"/>
          <w:numId w:val="4"/>
        </w:numPr>
        <w:spacing w:after="0" w:line="276" w:lineRule="auto"/>
      </w:pPr>
      <w:r>
        <w:t xml:space="preserve">RWS </w:t>
      </w:r>
      <w:r w:rsidR="00B05BFF">
        <w:t xml:space="preserve">deelt in de week van 1 maart </w:t>
      </w:r>
      <w:r w:rsidR="00762D03">
        <w:t xml:space="preserve">2021 </w:t>
      </w:r>
      <w:r w:rsidR="00B05BFF">
        <w:t xml:space="preserve">het concept gegevenswoordenboek met de bronhouders. </w:t>
      </w:r>
    </w:p>
    <w:p w:rsidR="00B05BFF" w:rsidRDefault="00B05BFF" w:rsidP="007C0AEA">
      <w:pPr>
        <w:pStyle w:val="Lijstalinea"/>
        <w:numPr>
          <w:ilvl w:val="0"/>
          <w:numId w:val="4"/>
        </w:numPr>
        <w:spacing w:after="0" w:line="276" w:lineRule="auto"/>
      </w:pPr>
      <w:r>
        <w:lastRenderedPageBreak/>
        <w:t xml:space="preserve">Bronhouders kunnen eventuele vragen, </w:t>
      </w:r>
      <w:r w:rsidR="00F8460F">
        <w:t xml:space="preserve">suggesties voor </w:t>
      </w:r>
      <w:r>
        <w:t xml:space="preserve">wijzigingen </w:t>
      </w:r>
      <w:r w:rsidR="00F8460F">
        <w:t>in</w:t>
      </w:r>
      <w:r>
        <w:t xml:space="preserve"> het gegevenswoordenboek doorgeven aan </w:t>
      </w:r>
      <w:hyperlink r:id="rId7" w:history="1">
        <w:r w:rsidRPr="00183338">
          <w:rPr>
            <w:rStyle w:val="Hyperlink"/>
          </w:rPr>
          <w:t>REV@RWS.nl</w:t>
        </w:r>
      </w:hyperlink>
      <w:r>
        <w:t xml:space="preserve">. Het is de bedoeling </w:t>
      </w:r>
      <w:r w:rsidR="007E13B5">
        <w:t xml:space="preserve">om </w:t>
      </w:r>
      <w:r>
        <w:t>met de input van bronhouders het gegev</w:t>
      </w:r>
      <w:r w:rsidR="00F8460F">
        <w:t>enswoordenboek te verbeteren</w:t>
      </w:r>
      <w:r>
        <w:t xml:space="preserve">. </w:t>
      </w:r>
    </w:p>
    <w:p w:rsidR="002D6116" w:rsidRDefault="00B9697E" w:rsidP="007C0AEA">
      <w:pPr>
        <w:pStyle w:val="Lijstalinea"/>
        <w:numPr>
          <w:ilvl w:val="0"/>
          <w:numId w:val="4"/>
        </w:numPr>
        <w:spacing w:after="0" w:line="276" w:lineRule="auto"/>
      </w:pPr>
      <w:r>
        <w:t xml:space="preserve">RWS organiseert </w:t>
      </w:r>
      <w:r w:rsidR="007E13B5">
        <w:t>samen met</w:t>
      </w:r>
      <w:r>
        <w:t xml:space="preserve"> </w:t>
      </w:r>
      <w:r w:rsidR="00A40B26">
        <w:t>Geonovum</w:t>
      </w:r>
      <w:r>
        <w:t xml:space="preserve"> en Antea een sessie met de bronhouders </w:t>
      </w:r>
      <w:r w:rsidR="007E13B5">
        <w:t>voor uitleg</w:t>
      </w:r>
      <w:r>
        <w:t xml:space="preserve"> van het gegevenswoordenboek i</w:t>
      </w:r>
      <w:r w:rsidR="007E13B5">
        <w:t>n samenhang met</w:t>
      </w:r>
      <w:r>
        <w:t xml:space="preserve"> het informatiemodel. Voorstel is om dit voor één activiteit te doen. </w:t>
      </w:r>
      <w:r w:rsidR="007E13B5">
        <w:t>Nadere informatie hierover volgt via de website.</w:t>
      </w:r>
    </w:p>
    <w:p w:rsidR="00396AAC" w:rsidRDefault="00396AAC" w:rsidP="007C0AEA">
      <w:pPr>
        <w:spacing w:after="0" w:line="276" w:lineRule="auto"/>
        <w:rPr>
          <w:b/>
          <w:highlight w:val="yellow"/>
        </w:rPr>
      </w:pPr>
    </w:p>
    <w:p w:rsidR="007E13B5" w:rsidRDefault="007E13B5" w:rsidP="007C0AEA">
      <w:pPr>
        <w:spacing w:after="0" w:line="276" w:lineRule="auto"/>
      </w:pPr>
      <w:r>
        <w:rPr>
          <w:b/>
        </w:rPr>
        <w:t>Migratie RRGS-REV</w:t>
      </w:r>
      <w:r w:rsidR="00ED6299">
        <w:rPr>
          <w:b/>
        </w:rPr>
        <w:br/>
      </w:r>
      <w:r w:rsidR="00D34494">
        <w:t xml:space="preserve">Geodan werkt aan </w:t>
      </w:r>
      <w:r>
        <w:t>de migratie van data vanuit het RRGS naar het REV</w:t>
      </w:r>
      <w:r w:rsidR="00547A0A">
        <w:t>. D</w:t>
      </w:r>
      <w:r>
        <w:t>at leidt per activiteit tot de beschrijving van</w:t>
      </w:r>
      <w:r w:rsidR="00547A0A">
        <w:t xml:space="preserve"> drie onderdelen</w:t>
      </w:r>
      <w:r>
        <w:t>.</w:t>
      </w:r>
    </w:p>
    <w:p w:rsidR="00D21590" w:rsidRDefault="007E13B5" w:rsidP="007C0AEA">
      <w:pPr>
        <w:pStyle w:val="Lijstalinea"/>
        <w:numPr>
          <w:ilvl w:val="0"/>
          <w:numId w:val="13"/>
        </w:numPr>
        <w:spacing w:after="0" w:line="276" w:lineRule="auto"/>
      </w:pPr>
      <w:r>
        <w:t>De conversietabel: p</w:t>
      </w:r>
      <w:r w:rsidR="00D34494">
        <w:t xml:space="preserve">er activiteit </w:t>
      </w:r>
      <w:r>
        <w:t xml:space="preserve">wordt aangegeven hoe de velden </w:t>
      </w:r>
      <w:r w:rsidR="00D21590">
        <w:t>van</w:t>
      </w:r>
      <w:r w:rsidR="00D34494">
        <w:t xml:space="preserve"> het RRGS </w:t>
      </w:r>
      <w:r w:rsidR="00547A0A">
        <w:t>overgezet worden naar het</w:t>
      </w:r>
      <w:r w:rsidR="00396AAC">
        <w:t xml:space="preserve"> REV</w:t>
      </w:r>
      <w:r w:rsidR="001F582C">
        <w:t xml:space="preserve">. </w:t>
      </w:r>
    </w:p>
    <w:p w:rsidR="00D21590" w:rsidRDefault="00D21590" w:rsidP="007C0AEA">
      <w:pPr>
        <w:pStyle w:val="Lijstalinea"/>
        <w:numPr>
          <w:ilvl w:val="0"/>
          <w:numId w:val="13"/>
        </w:numPr>
        <w:spacing w:after="0" w:line="276" w:lineRule="auto"/>
      </w:pPr>
      <w:r>
        <w:t>Delta: o</w:t>
      </w:r>
      <w:r w:rsidR="00D34494">
        <w:t xml:space="preserve">verzicht van data die </w:t>
      </w:r>
      <w:r w:rsidR="00D34494" w:rsidRPr="007C0AEA">
        <w:rPr>
          <w:u w:val="single"/>
        </w:rPr>
        <w:t>niet</w:t>
      </w:r>
      <w:r w:rsidR="00D34494">
        <w:t xml:space="preserve"> overgezet wordt vanuit het RRGS naar het REV.</w:t>
      </w:r>
    </w:p>
    <w:p w:rsidR="00D21590" w:rsidRDefault="00D21590" w:rsidP="007C0AEA">
      <w:pPr>
        <w:pStyle w:val="Lijstalinea"/>
        <w:numPr>
          <w:ilvl w:val="0"/>
          <w:numId w:val="13"/>
        </w:numPr>
        <w:spacing w:after="0" w:line="276" w:lineRule="auto"/>
      </w:pPr>
      <w:r>
        <w:lastRenderedPageBreak/>
        <w:t>Nog een Delta: extra -</w:t>
      </w:r>
      <w:r w:rsidR="00D34494">
        <w:t>nieuwe</w:t>
      </w:r>
      <w:r>
        <w:t>-</w:t>
      </w:r>
      <w:r w:rsidR="00D34494">
        <w:t xml:space="preserve"> data </w:t>
      </w:r>
      <w:r>
        <w:t xml:space="preserve">die volgens de Omgevingswet </w:t>
      </w:r>
      <w:r w:rsidR="00D34494">
        <w:t xml:space="preserve">moet </w:t>
      </w:r>
      <w:r>
        <w:t xml:space="preserve">worden </w:t>
      </w:r>
      <w:r w:rsidR="00D34494">
        <w:t>opgenomen in het REV (</w:t>
      </w:r>
      <w:r w:rsidR="00396AAC">
        <w:t>data die</w:t>
      </w:r>
      <w:r>
        <w:t xml:space="preserve"> nog </w:t>
      </w:r>
      <w:r w:rsidR="00396AAC">
        <w:t>niet</w:t>
      </w:r>
      <w:r w:rsidR="00D34494">
        <w:t xml:space="preserve"> verplicht</w:t>
      </w:r>
      <w:r w:rsidR="00396AAC">
        <w:t xml:space="preserve"> waren</w:t>
      </w:r>
      <w:r w:rsidR="00D34494">
        <w:t xml:space="preserve"> onder </w:t>
      </w:r>
      <w:r w:rsidRPr="002818DA">
        <w:t>de</w:t>
      </w:r>
      <w:r>
        <w:t xml:space="preserve"> Wet Milieubeheer en de Wet Veiligheidsregio’s</w:t>
      </w:r>
      <w:r w:rsidR="00D34494">
        <w:t>)</w:t>
      </w:r>
      <w:r w:rsidR="00DC1FCA">
        <w:t xml:space="preserve">. </w:t>
      </w:r>
    </w:p>
    <w:p w:rsidR="008700BB" w:rsidRPr="00ED6299" w:rsidRDefault="00D21590" w:rsidP="007C0AEA">
      <w:pPr>
        <w:spacing w:after="0" w:line="276" w:lineRule="auto"/>
        <w:rPr>
          <w:b/>
        </w:rPr>
      </w:pPr>
      <w:r>
        <w:t xml:space="preserve">Knelpunt in het migratietraject is </w:t>
      </w:r>
      <w:r w:rsidR="00E44951">
        <w:t xml:space="preserve">dat er geen informatiemodel </w:t>
      </w:r>
      <w:r w:rsidR="00396AAC">
        <w:t xml:space="preserve">en datamodel </w:t>
      </w:r>
      <w:r w:rsidR="00E44951">
        <w:t>van het RRGS beschikbaar</w:t>
      </w:r>
      <w:r w:rsidR="00396AAC">
        <w:t xml:space="preserve"> zijn</w:t>
      </w:r>
      <w:r>
        <w:t>. Daar</w:t>
      </w:r>
      <w:r w:rsidR="00E44951">
        <w:t xml:space="preserve">door </w:t>
      </w:r>
      <w:r>
        <w:t xml:space="preserve">zijn meerdere iteraties nodig voor </w:t>
      </w:r>
      <w:r w:rsidR="00E44951">
        <w:t xml:space="preserve">het matchen van velden tussen RRGS en REV. </w:t>
      </w:r>
      <w:r w:rsidR="00DC1FCA">
        <w:t xml:space="preserve">De eerste activiteit die opgeleverd </w:t>
      </w:r>
      <w:r w:rsidR="001F582C">
        <w:t xml:space="preserve">wordt </w:t>
      </w:r>
      <w:r w:rsidR="00DC1FCA">
        <w:t xml:space="preserve">en waar over gecommuniceerd zal worden is </w:t>
      </w:r>
      <w:r w:rsidR="00DC1FCA" w:rsidRPr="00ED6299">
        <w:rPr>
          <w:i/>
        </w:rPr>
        <w:t>buisleidingen</w:t>
      </w:r>
      <w:r w:rsidR="00DC1FCA">
        <w:t>. Daarna</w:t>
      </w:r>
      <w:r w:rsidR="00E44951">
        <w:t xml:space="preserve"> volgen de andere activiteiten. </w:t>
      </w:r>
      <w:r>
        <w:t>We komen met een migratieplanning. Vanuit het ministerie is er geen voorkeur voor de</w:t>
      </w:r>
      <w:r w:rsidR="00E44951">
        <w:t xml:space="preserve"> volgorde van eerst op te pakken activiteiten. Mochten er wensen zijn betreft de volgorde geef het door aan </w:t>
      </w:r>
      <w:hyperlink r:id="rId8" w:history="1">
        <w:r w:rsidR="00E44951" w:rsidRPr="00183338">
          <w:rPr>
            <w:rStyle w:val="Hyperlink"/>
          </w:rPr>
          <w:t>REV@RWS.nl</w:t>
        </w:r>
      </w:hyperlink>
      <w:r w:rsidR="00E44951">
        <w:t>.</w:t>
      </w:r>
    </w:p>
    <w:p w:rsidR="00396AAC" w:rsidRDefault="00396AAC" w:rsidP="007C0AEA">
      <w:pPr>
        <w:spacing w:after="0" w:line="276" w:lineRule="auto"/>
        <w:rPr>
          <w:b/>
        </w:rPr>
      </w:pPr>
    </w:p>
    <w:p w:rsidR="008700BB" w:rsidRDefault="00110680" w:rsidP="007C0AEA">
      <w:pPr>
        <w:spacing w:after="0" w:line="276" w:lineRule="auto"/>
      </w:pPr>
      <w:r w:rsidRPr="00ED6299">
        <w:rPr>
          <w:b/>
        </w:rPr>
        <w:t>REV informatieplatform</w:t>
      </w:r>
      <w:r w:rsidR="005C7446">
        <w:br/>
      </w:r>
      <w:r w:rsidR="00DE225E">
        <w:t xml:space="preserve">Momenteel wordt er nagedacht over het opzetten van een informatieplatform REV. </w:t>
      </w:r>
      <w:r w:rsidR="00745C09">
        <w:t xml:space="preserve">Doel van het informatieplatform is om samen </w:t>
      </w:r>
      <w:r w:rsidR="00BC24A4">
        <w:t>kennis te delen en uitvoering te geven aan overgang</w:t>
      </w:r>
      <w:r w:rsidR="00745C09">
        <w:t xml:space="preserve"> van het RRGS naar het REV </w:t>
      </w:r>
      <w:r w:rsidR="00745C09">
        <w:lastRenderedPageBreak/>
        <w:t>en werken met het REV.</w:t>
      </w:r>
      <w:r w:rsidR="00F0792B">
        <w:t xml:space="preserve"> Meer informatie </w:t>
      </w:r>
      <w:r w:rsidR="009E1DD8">
        <w:t xml:space="preserve">hierover </w:t>
      </w:r>
      <w:r w:rsidR="00F0792B">
        <w:t xml:space="preserve">zal binnenkort </w:t>
      </w:r>
      <w:r w:rsidR="009E1DD8">
        <w:t>gedeeld worden.</w:t>
      </w:r>
    </w:p>
    <w:p w:rsidR="00396AAC" w:rsidRDefault="00396AAC" w:rsidP="007C0AEA">
      <w:pPr>
        <w:spacing w:after="0" w:line="276" w:lineRule="auto"/>
        <w:rPr>
          <w:b/>
        </w:rPr>
      </w:pPr>
    </w:p>
    <w:p w:rsidR="008700BB" w:rsidRDefault="00110680" w:rsidP="007C0AEA">
      <w:pPr>
        <w:spacing w:after="0" w:line="276" w:lineRule="auto"/>
      </w:pPr>
      <w:r w:rsidRPr="005C7446">
        <w:rPr>
          <w:b/>
        </w:rPr>
        <w:t xml:space="preserve">EV kaarten </w:t>
      </w:r>
      <w:r w:rsidR="00396AAC">
        <w:rPr>
          <w:b/>
        </w:rPr>
        <w:t xml:space="preserve">in de </w:t>
      </w:r>
      <w:r w:rsidRPr="005C7446">
        <w:rPr>
          <w:b/>
        </w:rPr>
        <w:t>Atlas Leefomgeving</w:t>
      </w:r>
      <w:r w:rsidR="005C7446">
        <w:br/>
      </w:r>
      <w:r w:rsidR="006E1B16">
        <w:t>De huidige kaarten van de Atlas Leefomgeving die EV informatie voor burgers tonen worden geüpdatet om straks nieuwe informatie vanuit het REV te tonen. Ook de bijsluiters</w:t>
      </w:r>
      <w:r w:rsidR="002818DA">
        <w:t xml:space="preserve"> worden aangepast. Die betreffen uitleg </w:t>
      </w:r>
      <w:r w:rsidR="006E1B16">
        <w:t>over wat er op een kaart te vinden is en wat je met de informatie kunt (handelingsperspectief).</w:t>
      </w:r>
      <w:r w:rsidR="00E463FD">
        <w:t xml:space="preserve"> </w:t>
      </w:r>
      <w:r w:rsidR="006E1B16">
        <w:t>Als de kaarten</w:t>
      </w:r>
      <w:r w:rsidR="002818DA">
        <w:t xml:space="preserve"> met bijsluiters</w:t>
      </w:r>
      <w:r w:rsidR="006E1B16">
        <w:t xml:space="preserve"> in concept af zijn zullen deze aan e</w:t>
      </w:r>
      <w:r w:rsidR="0096572A">
        <w:t>en aantal bronhouders voorgelegd</w:t>
      </w:r>
      <w:r w:rsidR="006E1B16">
        <w:t xml:space="preserve"> worden. </w:t>
      </w:r>
      <w:r w:rsidR="002818DA">
        <w:t xml:space="preserve">Wie wil meedenken, kan zich aanmelden via </w:t>
      </w:r>
      <w:hyperlink r:id="rId9" w:history="1">
        <w:r w:rsidR="002818DA" w:rsidRPr="00A22F9F">
          <w:rPr>
            <w:rStyle w:val="Hyperlink"/>
          </w:rPr>
          <w:t>REV@RWS.nl</w:t>
        </w:r>
      </w:hyperlink>
      <w:r w:rsidR="002818DA">
        <w:t xml:space="preserve">. </w:t>
      </w:r>
      <w:r w:rsidR="006E1B16">
        <w:t xml:space="preserve">Vervolgens zal ook een </w:t>
      </w:r>
      <w:r w:rsidR="002E07A6">
        <w:t>gebruikers</w:t>
      </w:r>
      <w:r w:rsidR="006E1B16">
        <w:t xml:space="preserve">panel </w:t>
      </w:r>
      <w:r w:rsidR="002E07A6">
        <w:t>van burgers om feedback gevraagd</w:t>
      </w:r>
      <w:r w:rsidR="006E1B16">
        <w:t xml:space="preserve"> worden.</w:t>
      </w:r>
    </w:p>
    <w:p w:rsidR="00396AAC" w:rsidRDefault="00396AAC" w:rsidP="007C0AEA">
      <w:pPr>
        <w:spacing w:after="0" w:line="276" w:lineRule="auto"/>
        <w:rPr>
          <w:b/>
        </w:rPr>
      </w:pPr>
    </w:p>
    <w:p w:rsidR="00ED6299" w:rsidRDefault="00255FB4" w:rsidP="007C0AEA">
      <w:pPr>
        <w:spacing w:after="0" w:line="276" w:lineRule="auto"/>
      </w:pPr>
      <w:r>
        <w:rPr>
          <w:b/>
        </w:rPr>
        <w:t xml:space="preserve">Financiële </w:t>
      </w:r>
      <w:r w:rsidR="00396AAC">
        <w:rPr>
          <w:b/>
        </w:rPr>
        <w:t>bijdrage</w:t>
      </w:r>
      <w:r>
        <w:rPr>
          <w:b/>
        </w:rPr>
        <w:t>/IOV</w:t>
      </w:r>
      <w:r w:rsidR="00110680" w:rsidRPr="005C7446">
        <w:rPr>
          <w:b/>
        </w:rPr>
        <w:t xml:space="preserve"> gelden</w:t>
      </w:r>
      <w:r w:rsidR="005C7446">
        <w:br/>
      </w:r>
      <w:r w:rsidR="00D471DD">
        <w:t>Doel van v</w:t>
      </w:r>
      <w:r>
        <w:t>ergoeding vanuit IOV</w:t>
      </w:r>
      <w:r w:rsidR="00BE4D47">
        <w:t xml:space="preserve"> gelden voor het REV aan een aantal </w:t>
      </w:r>
      <w:r w:rsidR="002818DA">
        <w:t xml:space="preserve">omgevingsdiensten </w:t>
      </w:r>
      <w:r w:rsidR="00BE4D47">
        <w:t xml:space="preserve">was </w:t>
      </w:r>
      <w:r w:rsidR="00D471DD">
        <w:t xml:space="preserve">om </w:t>
      </w:r>
      <w:r w:rsidR="00BE4D47">
        <w:t xml:space="preserve">te achterhalen hoeveel werk en tijd in de </w:t>
      </w:r>
      <w:r w:rsidR="002818DA">
        <w:lastRenderedPageBreak/>
        <w:t>aansluiting op</w:t>
      </w:r>
      <w:r w:rsidR="00BE4D47">
        <w:t xml:space="preserve"> het REV gaat zitten. </w:t>
      </w:r>
      <w:r w:rsidR="00D471DD">
        <w:t>Hiervoor zal vanuit RWS een enquête uitgezet worden</w:t>
      </w:r>
      <w:r w:rsidR="00CB0F13">
        <w:t xml:space="preserve">. </w:t>
      </w:r>
      <w:r w:rsidR="00010F50">
        <w:t xml:space="preserve">Met </w:t>
      </w:r>
      <w:r w:rsidR="00870E10">
        <w:t xml:space="preserve">ODNL, VNG en IPO </w:t>
      </w:r>
      <w:r w:rsidR="00010F50">
        <w:t>wordt bekeken welke</w:t>
      </w:r>
      <w:r w:rsidR="00870E10">
        <w:t xml:space="preserve"> financiële </w:t>
      </w:r>
      <w:r w:rsidR="00010F50">
        <w:t>basis nodig is</w:t>
      </w:r>
      <w:r w:rsidR="00870E10">
        <w:t>.</w:t>
      </w:r>
    </w:p>
    <w:p w:rsidR="00396AAC" w:rsidRDefault="00396AAC" w:rsidP="007C0AEA">
      <w:pPr>
        <w:spacing w:after="0" w:line="276" w:lineRule="auto"/>
        <w:rPr>
          <w:b/>
        </w:rPr>
      </w:pPr>
    </w:p>
    <w:p w:rsidR="00ED6299" w:rsidRDefault="00C24A25" w:rsidP="007C0AEA">
      <w:pPr>
        <w:spacing w:after="0" w:line="276" w:lineRule="auto"/>
      </w:pPr>
      <w:r w:rsidRPr="00ED6299">
        <w:rPr>
          <w:b/>
        </w:rPr>
        <w:t>Overgang RRGS naar REV</w:t>
      </w:r>
      <w:r w:rsidR="005C7446">
        <w:br/>
      </w:r>
      <w:r w:rsidR="00ED6299">
        <w:t xml:space="preserve">Dienen de bronhouders te stoppen met het bijwerken van het RRGS als data overgezet is naar het REV? Voor migratie van het RRGS naar het REV komt er een </w:t>
      </w:r>
      <w:r w:rsidR="00010F50">
        <w:t>-migratieplanning</w:t>
      </w:r>
      <w:r w:rsidR="00ED6299">
        <w:t>. Die is nog in ontwikkeling en is ook afhankelijk van de</w:t>
      </w:r>
      <w:r w:rsidR="00D868E9">
        <w:t xml:space="preserve"> voortgang in de</w:t>
      </w:r>
      <w:r w:rsidR="00ED6299">
        <w:t xml:space="preserve"> </w:t>
      </w:r>
      <w:r w:rsidR="00010F50">
        <w:t>pilot</w:t>
      </w:r>
      <w:r w:rsidR="00ED6299">
        <w:t>. Bronhouders zullen hierover geïnformeerd worden</w:t>
      </w:r>
      <w:r w:rsidR="00010F50">
        <w:t xml:space="preserve"> via onze website</w:t>
      </w:r>
      <w:r w:rsidR="00ED6299">
        <w:t xml:space="preserve">. </w:t>
      </w:r>
    </w:p>
    <w:p w:rsidR="00396AAC" w:rsidRDefault="00396AAC" w:rsidP="007C0AEA">
      <w:pPr>
        <w:spacing w:after="0" w:line="276" w:lineRule="auto"/>
        <w:rPr>
          <w:b/>
        </w:rPr>
      </w:pPr>
    </w:p>
    <w:p w:rsidR="0078758B" w:rsidRDefault="00ED6299" w:rsidP="007C0AEA">
      <w:pPr>
        <w:spacing w:after="0" w:line="276" w:lineRule="auto"/>
      </w:pPr>
      <w:r w:rsidRPr="00ED6299">
        <w:rPr>
          <w:b/>
        </w:rPr>
        <w:t>Opdrachtgeverschap vanuit gemeenten/provincie aan omgevingsdiensten</w:t>
      </w:r>
      <w:r w:rsidR="005C7446">
        <w:rPr>
          <w:b/>
        </w:rPr>
        <w:br/>
      </w:r>
      <w:r w:rsidR="00B803BF">
        <w:t>Hoe o</w:t>
      </w:r>
      <w:r w:rsidR="0078758B">
        <w:t xml:space="preserve">pdrachtgeverschap voor het REV </w:t>
      </w:r>
      <w:r w:rsidR="00B803BF">
        <w:t>aan omgevingsdiensten geregeld wordt ligt bij gemeente/provincie en omgevingsdiensten zelf. In</w:t>
      </w:r>
      <w:r w:rsidR="00255FB4">
        <w:t xml:space="preserve"> 201</w:t>
      </w:r>
      <w:r w:rsidR="0078758B">
        <w:t xml:space="preserve">9 </w:t>
      </w:r>
      <w:r w:rsidR="00B803BF">
        <w:t xml:space="preserve">is </w:t>
      </w:r>
      <w:r w:rsidR="0078758B">
        <w:t>door het minist</w:t>
      </w:r>
      <w:r w:rsidR="00B803BF">
        <w:t>erie van IenW een brief gestuurd</w:t>
      </w:r>
      <w:r w:rsidR="0078758B">
        <w:t xml:space="preserve"> na</w:t>
      </w:r>
      <w:r w:rsidR="00B803BF">
        <w:t>ar alle ge</w:t>
      </w:r>
      <w:r w:rsidR="00B803BF">
        <w:lastRenderedPageBreak/>
        <w:t xml:space="preserve">meente, provincies, </w:t>
      </w:r>
      <w:r w:rsidR="0078758B">
        <w:t>omgevingsdiensten</w:t>
      </w:r>
      <w:r w:rsidR="00B803BF">
        <w:t xml:space="preserve"> en de koepels</w:t>
      </w:r>
      <w:r w:rsidR="0078758B">
        <w:t xml:space="preserve"> </w:t>
      </w:r>
      <w:hyperlink r:id="rId10" w:history="1">
        <w:r w:rsidR="0078758B">
          <w:rPr>
            <w:rStyle w:val="Hyperlink"/>
          </w:rPr>
          <w:t>Opdrachtgeverschap aandachtsgebieden en REV.pdf (registerexterneveiligheid.nl)</w:t>
        </w:r>
      </w:hyperlink>
      <w:r w:rsidR="0078758B">
        <w:t xml:space="preserve">. </w:t>
      </w:r>
      <w:r w:rsidR="00010F50">
        <w:t>Het ministerie zal nog</w:t>
      </w:r>
      <w:r w:rsidR="0078758B">
        <w:t xml:space="preserve"> een tweede brief </w:t>
      </w:r>
      <w:r w:rsidR="00010F50">
        <w:t xml:space="preserve">over het REV </w:t>
      </w:r>
      <w:r w:rsidR="0078758B">
        <w:t>versturen. De inzichten over hoeveel tijd en werk de o</w:t>
      </w:r>
      <w:r w:rsidR="00231331">
        <w:t>vergang van het RRGS naar REV kost</w:t>
      </w:r>
      <w:r w:rsidR="00B803BF">
        <w:t>,</w:t>
      </w:r>
      <w:r w:rsidR="0078758B">
        <w:t xml:space="preserve"> zal hier onderdeel van zijn</w:t>
      </w:r>
      <w:r w:rsidR="00010F50">
        <w:t>, evenals het te volgen proces</w:t>
      </w:r>
      <w:r w:rsidR="0078758B">
        <w:t xml:space="preserve">. </w:t>
      </w:r>
    </w:p>
    <w:p w:rsidR="00396AAC" w:rsidRDefault="00396AAC" w:rsidP="007C0AEA">
      <w:pPr>
        <w:spacing w:after="0" w:line="276" w:lineRule="auto"/>
        <w:rPr>
          <w:b/>
        </w:rPr>
      </w:pPr>
    </w:p>
    <w:p w:rsidR="0078758B" w:rsidRDefault="0078758B" w:rsidP="007C0AEA">
      <w:pPr>
        <w:spacing w:after="0" w:line="276" w:lineRule="auto"/>
      </w:pPr>
      <w:r w:rsidRPr="00123520">
        <w:rPr>
          <w:b/>
        </w:rPr>
        <w:t>Kwet</w:t>
      </w:r>
      <w:r>
        <w:rPr>
          <w:b/>
        </w:rPr>
        <w:t>s</w:t>
      </w:r>
      <w:r w:rsidRPr="00123520">
        <w:rPr>
          <w:b/>
        </w:rPr>
        <w:t xml:space="preserve">bare gebouwen en locaties </w:t>
      </w:r>
      <w:r w:rsidR="00361696">
        <w:rPr>
          <w:b/>
        </w:rPr>
        <w:t>(KGL)</w:t>
      </w:r>
      <w:r>
        <w:rPr>
          <w:b/>
        </w:rPr>
        <w:br/>
      </w:r>
      <w:r w:rsidR="00361696">
        <w:t>H</w:t>
      </w:r>
      <w:r>
        <w:t>et informatiemodel voor k</w:t>
      </w:r>
      <w:r w:rsidRPr="0078758B">
        <w:t>wetsbare gebouwen en locaties</w:t>
      </w:r>
      <w:r w:rsidR="00231331">
        <w:t xml:space="preserve"> </w:t>
      </w:r>
      <w:r w:rsidR="00361696">
        <w:t>is gepresenteerd in</w:t>
      </w:r>
      <w:r>
        <w:t xml:space="preserve"> een activiteitenteam. </w:t>
      </w:r>
      <w:r w:rsidR="00361696">
        <w:t xml:space="preserve">Daar waren vooral vragen over de </w:t>
      </w:r>
      <w:r>
        <w:t xml:space="preserve">juridische uitleg en definities </w:t>
      </w:r>
      <w:r w:rsidR="00361696">
        <w:t>rond KGL. Gesprekken met het ministerie van J&amp;V en ook enkele</w:t>
      </w:r>
      <w:r w:rsidR="00F41333">
        <w:t xml:space="preserve"> gemeenten </w:t>
      </w:r>
      <w:r w:rsidR="00361696">
        <w:t>lopen nog</w:t>
      </w:r>
      <w:r w:rsidR="00F41333">
        <w:t>.</w:t>
      </w:r>
      <w:r w:rsidR="00361696">
        <w:t xml:space="preserve"> We verwachten begin april een nieuw activiteitenteam KGL.</w:t>
      </w:r>
      <w:r w:rsidR="00F41333">
        <w:t xml:space="preserve"> </w:t>
      </w:r>
    </w:p>
    <w:p w:rsidR="00396AAC" w:rsidRDefault="00361696" w:rsidP="007C0AEA">
      <w:pPr>
        <w:pStyle w:val="Lijstalinea"/>
        <w:numPr>
          <w:ilvl w:val="0"/>
          <w:numId w:val="5"/>
        </w:numPr>
        <w:spacing w:after="0" w:line="276" w:lineRule="auto"/>
      </w:pPr>
      <w:r>
        <w:t xml:space="preserve">Vraag van bronhouders: </w:t>
      </w:r>
      <w:r w:rsidR="00D868E9">
        <w:t>Heeft</w:t>
      </w:r>
      <w:r>
        <w:t xml:space="preserve"> het zin om het</w:t>
      </w:r>
      <w:r w:rsidR="00F41333">
        <w:t xml:space="preserve"> ISOR nog bij</w:t>
      </w:r>
      <w:r>
        <w:t xml:space="preserve"> te </w:t>
      </w:r>
      <w:r w:rsidR="00F41333">
        <w:t xml:space="preserve">houden? </w:t>
      </w:r>
      <w:r w:rsidR="00D868E9">
        <w:t xml:space="preserve">Antwoord: Zeker. Het </w:t>
      </w:r>
      <w:r w:rsidR="00F41333">
        <w:t>ISOR val</w:t>
      </w:r>
      <w:r w:rsidR="00D868E9">
        <w:t>t</w:t>
      </w:r>
      <w:r w:rsidR="00F41333">
        <w:t xml:space="preserve"> onder andere wetgeving (</w:t>
      </w:r>
      <w:r>
        <w:t>W</w:t>
      </w:r>
      <w:r w:rsidR="00F41333" w:rsidRPr="00F41333">
        <w:t xml:space="preserve">et </w:t>
      </w:r>
      <w:r w:rsidR="00A22D7E">
        <w:t>V</w:t>
      </w:r>
      <w:r w:rsidR="00F41333" w:rsidRPr="00F41333">
        <w:t>eiligheidsr</w:t>
      </w:r>
      <w:bookmarkStart w:id="0" w:name="_GoBack"/>
      <w:bookmarkEnd w:id="0"/>
      <w:r w:rsidR="00F41333" w:rsidRPr="00F41333">
        <w:t>egios</w:t>
      </w:r>
      <w:r w:rsidR="00F41333">
        <w:t xml:space="preserve"> en </w:t>
      </w:r>
      <w:r w:rsidR="00F41333" w:rsidRPr="00F41333">
        <w:t>Regeling provinciale risicokaart</w:t>
      </w:r>
      <w:r w:rsidR="00F41333">
        <w:t xml:space="preserve">). Hier komt op basis van Omgevingswet geen verandering in. </w:t>
      </w:r>
      <w:r w:rsidR="00A22D7E">
        <w:t>Het m</w:t>
      </w:r>
      <w:r w:rsidR="00F41333">
        <w:t xml:space="preserve">inisterie van IenW is wel met </w:t>
      </w:r>
      <w:r w:rsidR="00A22D7E">
        <w:t>het m</w:t>
      </w:r>
      <w:r w:rsidR="00F41333">
        <w:t xml:space="preserve">inisterie van JenV </w:t>
      </w:r>
      <w:r w:rsidR="00A22D7E">
        <w:t>in overleg</w:t>
      </w:r>
      <w:r w:rsidR="00F41333">
        <w:t xml:space="preserve"> om </w:t>
      </w:r>
      <w:r w:rsidR="00F41333">
        <w:lastRenderedPageBreak/>
        <w:t>dubbele invoer en verschillende definities van kwetsbare gebouwen en locaties te voorkomen (wetgeving op elkaar laten aansluiten).</w:t>
      </w:r>
      <w:r w:rsidR="00A11565">
        <w:t xml:space="preserve"> </w:t>
      </w:r>
    </w:p>
    <w:p w:rsidR="00396AAC" w:rsidRDefault="00396AAC" w:rsidP="007C0AEA">
      <w:pPr>
        <w:tabs>
          <w:tab w:val="left" w:pos="2127"/>
        </w:tabs>
        <w:spacing w:after="0" w:line="276" w:lineRule="auto"/>
        <w:rPr>
          <w:b/>
        </w:rPr>
      </w:pPr>
    </w:p>
    <w:p w:rsidR="00D9663A" w:rsidRDefault="00D9663A" w:rsidP="007C0AEA">
      <w:pPr>
        <w:tabs>
          <w:tab w:val="left" w:pos="2127"/>
        </w:tabs>
        <w:spacing w:after="0" w:line="276" w:lineRule="auto"/>
        <w:rPr>
          <w:b/>
        </w:rPr>
      </w:pPr>
      <w:r>
        <w:rPr>
          <w:b/>
        </w:rPr>
        <w:t>Invoermodule</w:t>
      </w:r>
    </w:p>
    <w:p w:rsidR="00D9663A" w:rsidRDefault="00A11565" w:rsidP="007C0AEA">
      <w:pPr>
        <w:tabs>
          <w:tab w:val="left" w:pos="2127"/>
        </w:tabs>
        <w:spacing w:after="0" w:line="276" w:lineRule="auto"/>
      </w:pPr>
      <w:r w:rsidRPr="00A22D7E">
        <w:t>Verzoek om additionele invoertool voor gegevens in plaats van aanleveren via JSON (Sasja vd berg)</w:t>
      </w:r>
      <w:r w:rsidR="00A131B6" w:rsidRPr="00A22D7E">
        <w:br/>
        <w:t>Welke zaaksystemen worde</w:t>
      </w:r>
      <w:r w:rsidR="00A131B6" w:rsidRPr="007C0AEA">
        <w:t>n door de verschillende bronhouders gebruikt</w:t>
      </w:r>
      <w:r w:rsidR="00D9663A" w:rsidRPr="007C0AEA">
        <w:t>?</w:t>
      </w:r>
      <w:r w:rsidR="00A131B6" w:rsidRPr="00A22D7E">
        <w:t xml:space="preserve"> Is er behoefte aan het gezamenlijk optrekken?</w:t>
      </w:r>
      <w:r w:rsidRPr="007C0AEA">
        <w:br/>
      </w:r>
      <w:r w:rsidR="00D9663A">
        <w:t xml:space="preserve">Het </w:t>
      </w:r>
      <w:r>
        <w:t xml:space="preserve">ministerie van IenW </w:t>
      </w:r>
      <w:r w:rsidR="00D9663A">
        <w:t>werkt aan</w:t>
      </w:r>
      <w:r>
        <w:t xml:space="preserve"> een tijdelijke </w:t>
      </w:r>
      <w:r w:rsidR="00D53AD4">
        <w:t xml:space="preserve">invoermodule </w:t>
      </w:r>
      <w:r w:rsidR="005102C5">
        <w:t xml:space="preserve">(de </w:t>
      </w:r>
      <w:r w:rsidR="00D9663A">
        <w:t xml:space="preserve">zg. </w:t>
      </w:r>
      <w:r w:rsidR="005102C5">
        <w:t>bevoegd gezag module (BGM))</w:t>
      </w:r>
      <w:r w:rsidR="00D9663A">
        <w:t>. Met de bevoegd gezag module kan het</w:t>
      </w:r>
      <w:r w:rsidR="00D53AD4">
        <w:t xml:space="preserve"> bevoegd gezag </w:t>
      </w:r>
      <w:r w:rsidR="00D9663A">
        <w:t xml:space="preserve">de </w:t>
      </w:r>
      <w:r w:rsidR="00D53AD4">
        <w:t xml:space="preserve">wettelijke taak uitvoeren (als </w:t>
      </w:r>
      <w:r w:rsidR="00A22D7E">
        <w:t>(</w:t>
      </w:r>
      <w:r w:rsidR="00D53AD4">
        <w:t>gedeleg</w:t>
      </w:r>
      <w:r w:rsidR="00AD22C2">
        <w:t>eerde</w:t>
      </w:r>
      <w:r w:rsidR="00A22D7E">
        <w:t>)</w:t>
      </w:r>
      <w:r w:rsidR="00AD22C2">
        <w:t xml:space="preserve"> bronhouder </w:t>
      </w:r>
      <w:r w:rsidR="00A22D7E">
        <w:t>d</w:t>
      </w:r>
      <w:r w:rsidR="00AD22C2">
        <w:t xml:space="preserve">e REV data </w:t>
      </w:r>
      <w:r w:rsidR="00D53AD4">
        <w:t>beheren)</w:t>
      </w:r>
      <w:r w:rsidR="00D9663A">
        <w:t xml:space="preserve"> ook zolang er nog geen automatische koppeling met het REV is ingeregeld</w:t>
      </w:r>
      <w:r w:rsidR="00D53AD4">
        <w:t xml:space="preserve">. </w:t>
      </w:r>
    </w:p>
    <w:p w:rsidR="00A11565" w:rsidRDefault="00AD22C2" w:rsidP="007C0AEA">
      <w:pPr>
        <w:tabs>
          <w:tab w:val="left" w:pos="2127"/>
        </w:tabs>
        <w:spacing w:after="0" w:line="276" w:lineRule="auto"/>
      </w:pPr>
      <w:r>
        <w:t xml:space="preserve">Een tijdelijke invoermodule </w:t>
      </w:r>
      <w:r w:rsidR="00D53AD4">
        <w:t>heeft niet de voorkeur om</w:t>
      </w:r>
      <w:r w:rsidR="00A11565">
        <w:t xml:space="preserve">dat het uitgangspunt van het REV is </w:t>
      </w:r>
      <w:r w:rsidR="00D9663A">
        <w:t>dat de</w:t>
      </w:r>
      <w:r w:rsidR="00A11565">
        <w:t xml:space="preserve"> data bij de bron</w:t>
      </w:r>
      <w:r w:rsidR="00D9663A">
        <w:t xml:space="preserve"> wordt opgeslagen</w:t>
      </w:r>
      <w:r w:rsidR="00A11565">
        <w:t xml:space="preserve">. </w:t>
      </w:r>
      <w:r w:rsidR="00D9663A">
        <w:lastRenderedPageBreak/>
        <w:t>Omdat de realisatie daarvan nog enkele jaren kan duren,</w:t>
      </w:r>
      <w:r w:rsidR="00D53AD4" w:rsidRPr="00D53AD4">
        <w:t xml:space="preserve"> is een tussenoplossing nodig </w:t>
      </w:r>
      <w:r w:rsidR="00D9663A">
        <w:t>waarmee</w:t>
      </w:r>
      <w:r w:rsidR="00D9663A" w:rsidRPr="00D53AD4">
        <w:t xml:space="preserve"> </w:t>
      </w:r>
      <w:r w:rsidR="00D53AD4" w:rsidRPr="00D53AD4">
        <w:t xml:space="preserve">data </w:t>
      </w:r>
      <w:r w:rsidR="00D9663A">
        <w:t xml:space="preserve">kan worden </w:t>
      </w:r>
      <w:r w:rsidR="00D53AD4" w:rsidRPr="00D53AD4">
        <w:t>aan</w:t>
      </w:r>
      <w:r w:rsidR="00D9663A">
        <w:t>ge</w:t>
      </w:r>
      <w:r w:rsidR="00D53AD4" w:rsidRPr="00D53AD4">
        <w:t>pas</w:t>
      </w:r>
      <w:r w:rsidR="00D9663A">
        <w:t>t</w:t>
      </w:r>
      <w:r w:rsidR="00D53AD4" w:rsidRPr="00D53AD4">
        <w:t xml:space="preserve"> in het REV.</w:t>
      </w:r>
    </w:p>
    <w:p w:rsidR="00A22D7E" w:rsidRPr="007C0AEA" w:rsidRDefault="00A22D7E" w:rsidP="007C0AEA">
      <w:pPr>
        <w:tabs>
          <w:tab w:val="left" w:pos="2127"/>
        </w:tabs>
        <w:spacing w:after="0" w:line="276" w:lineRule="auto"/>
        <w:rPr>
          <w:b/>
        </w:rPr>
      </w:pPr>
      <w:r>
        <w:t>Er zijn veel vragen over de ordening en de invoer van data:</w:t>
      </w:r>
    </w:p>
    <w:p w:rsidR="005F1C18" w:rsidRDefault="00590B68" w:rsidP="007C0AEA">
      <w:pPr>
        <w:pStyle w:val="Lijstalinea"/>
        <w:numPr>
          <w:ilvl w:val="0"/>
          <w:numId w:val="5"/>
        </w:numPr>
        <w:spacing w:after="0" w:line="276" w:lineRule="auto"/>
      </w:pPr>
      <w:r>
        <w:t>Op dit moment is het voor veel bronhouders niet mogelijk om geïnventariseerde REV data te registeren in een bronsysteem (bv. VTH zaaksysteem of GIS). Gevraagde informatie zit nu ook in verschillende systemen en dossiers of ontbreekt nog. Informatie die in ande</w:t>
      </w:r>
      <w:r w:rsidR="00255FB4">
        <w:t>re systemen zit</w:t>
      </w:r>
      <w:r w:rsidR="00D9663A">
        <w:t>,</w:t>
      </w:r>
      <w:r w:rsidR="00255FB4">
        <w:t xml:space="preserve"> is niet </w:t>
      </w:r>
      <w:r w:rsidR="00D9663A">
        <w:t>zomaar</w:t>
      </w:r>
      <w:r w:rsidR="00255FB4">
        <w:t xml:space="preserve"> </w:t>
      </w:r>
      <w:r>
        <w:t>te exporteren.</w:t>
      </w:r>
      <w:r w:rsidR="005F1C18">
        <w:t xml:space="preserve"> Er gaat </w:t>
      </w:r>
      <w:r w:rsidR="00D9663A">
        <w:t xml:space="preserve">nog </w:t>
      </w:r>
      <w:r w:rsidR="005F1C18">
        <w:t xml:space="preserve">veel tijd en werk in zitten om dit </w:t>
      </w:r>
      <w:r w:rsidR="00D9663A">
        <w:t xml:space="preserve">goed </w:t>
      </w:r>
      <w:r w:rsidR="005F1C18">
        <w:t>voor elkaar te krijgen.</w:t>
      </w:r>
    </w:p>
    <w:p w:rsidR="005F1C18" w:rsidRDefault="00D9663A" w:rsidP="007C0AEA">
      <w:pPr>
        <w:pStyle w:val="Lijstalinea"/>
        <w:numPr>
          <w:ilvl w:val="0"/>
          <w:numId w:val="5"/>
        </w:numPr>
        <w:spacing w:after="0" w:line="276" w:lineRule="auto"/>
      </w:pPr>
      <w:r>
        <w:t>B</w:t>
      </w:r>
      <w:r w:rsidR="005F1C18">
        <w:t>ron</w:t>
      </w:r>
      <w:r w:rsidR="00AD22C2">
        <w:t xml:space="preserve">houders </w:t>
      </w:r>
      <w:r>
        <w:t xml:space="preserve">zouden onderling </w:t>
      </w:r>
      <w:r w:rsidR="00AD22C2">
        <w:t xml:space="preserve">meer informatie </w:t>
      </w:r>
      <w:r>
        <w:t>kunnen delen</w:t>
      </w:r>
      <w:r w:rsidR="005F1C18">
        <w:t xml:space="preserve"> over hoe </w:t>
      </w:r>
      <w:r>
        <w:t xml:space="preserve">het </w:t>
      </w:r>
      <w:r w:rsidR="005F1C18">
        <w:t xml:space="preserve">probleem </w:t>
      </w:r>
      <w:r>
        <w:t>rond het ordenen van de eigen data kan worden aangepakt</w:t>
      </w:r>
      <w:r w:rsidR="005F1C18">
        <w:t>. Welke mogelijkheden zijn er om data te inventariseren en te registeren</w:t>
      </w:r>
      <w:r>
        <w:t>?</w:t>
      </w:r>
      <w:r w:rsidR="005F1C18">
        <w:t xml:space="preserve"> We moeten niet allemaal individueel het wiel opnieuw gaan uitvinden</w:t>
      </w:r>
      <w:r>
        <w:t xml:space="preserve">. We moeten </w:t>
      </w:r>
      <w:r w:rsidR="005F1C18">
        <w:t>aan de slag met manieren o</w:t>
      </w:r>
      <w:r>
        <w:t>m</w:t>
      </w:r>
      <w:r w:rsidR="005F1C18">
        <w:t xml:space="preserve"> data te registeren in</w:t>
      </w:r>
      <w:r>
        <w:t xml:space="preserve"> de eigen</w:t>
      </w:r>
      <w:r w:rsidR="005F1C18">
        <w:t xml:space="preserve"> </w:t>
      </w:r>
      <w:r>
        <w:t xml:space="preserve">(koppelbare) </w:t>
      </w:r>
      <w:r w:rsidR="005F1C18">
        <w:t>systemen.</w:t>
      </w:r>
    </w:p>
    <w:p w:rsidR="00974246" w:rsidRDefault="005F1C18" w:rsidP="007C0AEA">
      <w:pPr>
        <w:pStyle w:val="Lijstalinea"/>
        <w:numPr>
          <w:ilvl w:val="0"/>
          <w:numId w:val="5"/>
        </w:numPr>
        <w:spacing w:after="0" w:line="276" w:lineRule="auto"/>
      </w:pPr>
      <w:r>
        <w:t xml:space="preserve">Op termijn zullen de meeste bronhouders het VTH-zaaksysteem gebruiken als bronsysteem. Maar dit kan nog even duren omdat </w:t>
      </w:r>
      <w:r>
        <w:lastRenderedPageBreak/>
        <w:t>leveranciers het druk hebben met aansluiten</w:t>
      </w:r>
      <w:r w:rsidR="00AD22C2">
        <w:t xml:space="preserve"> op</w:t>
      </w:r>
      <w:r>
        <w:t xml:space="preserve"> het DSO. Voorkeur is dat er in de tussentijd een </w:t>
      </w:r>
      <w:r w:rsidR="00490111">
        <w:t xml:space="preserve">andere </w:t>
      </w:r>
      <w:r>
        <w:t>database komt waarin we de data op kunnen slaan en</w:t>
      </w:r>
      <w:r w:rsidR="00AD22C2">
        <w:t xml:space="preserve"> waarmee we</w:t>
      </w:r>
      <w:r>
        <w:t xml:space="preserve"> kunnen aanleveren aan het REV.</w:t>
      </w:r>
      <w:r w:rsidR="00490111">
        <w:t xml:space="preserve"> Het liefst een die door alle bronhouders kan worden gebruikt, zodat er een uniforme situatie ontstaat en er ook aan een uniforme aansluiting</w:t>
      </w:r>
      <w:r w:rsidR="00E463FD">
        <w:t xml:space="preserve"> </w:t>
      </w:r>
      <w:r w:rsidR="00490111">
        <w:t>het REV kan worden gewerkt (bijvoorbeeld standaard scripts om JSON-bestanden te genereren).</w:t>
      </w:r>
    </w:p>
    <w:p w:rsidR="00974246" w:rsidRDefault="00974246" w:rsidP="007C0AEA">
      <w:pPr>
        <w:pStyle w:val="Lijstalinea"/>
        <w:numPr>
          <w:ilvl w:val="0"/>
          <w:numId w:val="5"/>
        </w:numPr>
        <w:spacing w:after="0" w:line="276" w:lineRule="auto"/>
      </w:pPr>
      <w:r>
        <w:t>B</w:t>
      </w:r>
      <w:r w:rsidR="004D0D59">
        <w:t>IJ</w:t>
      </w:r>
      <w:r>
        <w:t xml:space="preserve">12 heeft een concept van een invoertool. </w:t>
      </w:r>
      <w:r w:rsidR="004D0D59">
        <w:t xml:space="preserve">Het ministerie </w:t>
      </w:r>
      <w:r>
        <w:t xml:space="preserve">gaat onderzoeken of </w:t>
      </w:r>
      <w:r w:rsidR="004D0D59">
        <w:t xml:space="preserve">de </w:t>
      </w:r>
      <w:r>
        <w:t xml:space="preserve">invoertool </w:t>
      </w:r>
      <w:r w:rsidR="004D0D59">
        <w:t>van BIJ</w:t>
      </w:r>
      <w:r>
        <w:t xml:space="preserve">12 gebruikt kan worden voor </w:t>
      </w:r>
      <w:r w:rsidR="004D0D59">
        <w:t xml:space="preserve">het </w:t>
      </w:r>
      <w:r>
        <w:t xml:space="preserve">voeden van het REV. </w:t>
      </w:r>
      <w:r w:rsidR="004D0D59">
        <w:t>Ook andere suggesties zijn welkom, want het ministerie be</w:t>
      </w:r>
      <w:r w:rsidR="00AD22C2">
        <w:t>kijkt</w:t>
      </w:r>
      <w:r w:rsidR="00E463FD">
        <w:t xml:space="preserve"> </w:t>
      </w:r>
      <w:r w:rsidR="004D0D59">
        <w:t>ook</w:t>
      </w:r>
      <w:r w:rsidR="00AD22C2">
        <w:t xml:space="preserve"> andere mogelijkheden. </w:t>
      </w:r>
      <w:r w:rsidR="00E463FD">
        <w:t xml:space="preserve">OD Rivierenland </w:t>
      </w:r>
      <w:r w:rsidR="00A22D7E">
        <w:t xml:space="preserve">weet hier meer van en </w:t>
      </w:r>
      <w:r>
        <w:t>stuurt extra info naar Rianne</w:t>
      </w:r>
      <w:r w:rsidR="00651B89">
        <w:t>.</w:t>
      </w:r>
    </w:p>
    <w:p w:rsidR="00AD2C40" w:rsidRDefault="00974246" w:rsidP="007C0AEA">
      <w:pPr>
        <w:pStyle w:val="Lijstalinea"/>
        <w:numPr>
          <w:ilvl w:val="0"/>
          <w:numId w:val="5"/>
        </w:numPr>
        <w:spacing w:after="0" w:line="276" w:lineRule="auto"/>
      </w:pPr>
      <w:r>
        <w:t>Bronhouders</w:t>
      </w:r>
      <w:r w:rsidR="00E53F24">
        <w:t xml:space="preserve"> </w:t>
      </w:r>
      <w:r>
        <w:t>hebben weinig tot geen ervaring met het genereren van een JSON bestand. Hier moet vaak externe expertise voor geworven worden. D</w:t>
      </w:r>
      <w:r w:rsidR="00E53F24">
        <w:t xml:space="preserve">e </w:t>
      </w:r>
      <w:r w:rsidR="004D0D59">
        <w:t>REV-</w:t>
      </w:r>
      <w:r w:rsidR="00E53F24">
        <w:t xml:space="preserve">website biedt te weinig </w:t>
      </w:r>
      <w:r>
        <w:t xml:space="preserve">informatie over </w:t>
      </w:r>
      <w:r w:rsidR="00E53F24">
        <w:t xml:space="preserve">het </w:t>
      </w:r>
      <w:r w:rsidR="000B1AEF">
        <w:t xml:space="preserve">gebruiken en </w:t>
      </w:r>
      <w:r>
        <w:t>het maken van conversies naar JSON bestanden.</w:t>
      </w:r>
      <w:r w:rsidR="00AD2C40">
        <w:t xml:space="preserve"> Ook is niet iedere tekstverwerker even geschikt om de voorbeeld </w:t>
      </w:r>
      <w:r w:rsidR="00AD2C40">
        <w:lastRenderedPageBreak/>
        <w:t>JSON bestanden van de REV-website in te zien.</w:t>
      </w:r>
      <w:r>
        <w:t xml:space="preserve"> </w:t>
      </w:r>
      <w:r w:rsidR="00AD2C40">
        <w:t xml:space="preserve">Als tip wordt meegegeven dat deze goed in te zien zijn met bijvoorbeeld Notepad++, maar ook </w:t>
      </w:r>
      <w:r w:rsidR="00E463FD">
        <w:t>tekstverwerkers</w:t>
      </w:r>
      <w:r w:rsidR="00AD2C40">
        <w:t xml:space="preserve"> als </w:t>
      </w:r>
      <w:r w:rsidR="004D0D59">
        <w:t>W</w:t>
      </w:r>
      <w:r w:rsidR="00490111">
        <w:t>ord</w:t>
      </w:r>
      <w:r w:rsidR="00AD2C40">
        <w:t xml:space="preserve"> en</w:t>
      </w:r>
      <w:r w:rsidR="00490111">
        <w:t xml:space="preserve"> </w:t>
      </w:r>
      <w:r w:rsidR="004D0D59">
        <w:t>W</w:t>
      </w:r>
      <w:r w:rsidR="00490111">
        <w:t xml:space="preserve">ordpad </w:t>
      </w:r>
      <w:r w:rsidR="00AD2C40">
        <w:t>zouden geschikt moeten zijn.</w:t>
      </w:r>
    </w:p>
    <w:p w:rsidR="00974246" w:rsidRDefault="00E53F24" w:rsidP="007C0AEA">
      <w:pPr>
        <w:pStyle w:val="Lijstalinea"/>
        <w:numPr>
          <w:ilvl w:val="0"/>
          <w:numId w:val="5"/>
        </w:numPr>
        <w:spacing w:after="0" w:line="276" w:lineRule="auto"/>
      </w:pPr>
      <w:r>
        <w:t xml:space="preserve">Het aanbieden van een </w:t>
      </w:r>
      <w:r w:rsidRPr="00E53F24">
        <w:t xml:space="preserve">uniform script voor conversie </w:t>
      </w:r>
      <w:r>
        <w:t xml:space="preserve">naar JSON bestand </w:t>
      </w:r>
      <w:r w:rsidRPr="00E53F24">
        <w:t>is lastig omdat dit maatwerk is</w:t>
      </w:r>
      <w:r w:rsidR="004D0D59">
        <w:t xml:space="preserve">. Dit is namelijk afhankelijk </w:t>
      </w:r>
      <w:r w:rsidRPr="00E53F24">
        <w:t xml:space="preserve">van hoe </w:t>
      </w:r>
      <w:r w:rsidR="004D0D59">
        <w:t>de</w:t>
      </w:r>
      <w:r w:rsidRPr="00E53F24">
        <w:t xml:space="preserve"> informatie </w:t>
      </w:r>
      <w:r w:rsidR="004D0D59">
        <w:t>is opgeslagen bij de bronhouder</w:t>
      </w:r>
      <w:r w:rsidRPr="00E53F24">
        <w:t>. Eventueel kan een uniforme script wel als we een uniforme database hebben.</w:t>
      </w:r>
    </w:p>
    <w:p w:rsidR="00DD049E" w:rsidRDefault="00DD049E" w:rsidP="007C0AEA">
      <w:pPr>
        <w:pStyle w:val="Lijstalinea"/>
        <w:numPr>
          <w:ilvl w:val="0"/>
          <w:numId w:val="5"/>
        </w:numPr>
        <w:spacing w:after="0" w:line="276" w:lineRule="auto"/>
      </w:pPr>
      <w:r>
        <w:t xml:space="preserve">Bronhouders staan nu op het punt om een keuze te maken waar de data op te slaan. Het maken van een keuze is moeilijk omdat men niet weet welke </w:t>
      </w:r>
      <w:r w:rsidR="00A22D7E">
        <w:t>kant het op gaat</w:t>
      </w:r>
      <w:r>
        <w:t xml:space="preserve"> en welke </w:t>
      </w:r>
      <w:r w:rsidR="00A22D7E">
        <w:t xml:space="preserve">keus dus </w:t>
      </w:r>
      <w:r>
        <w:t>de meest handige is (eigen database</w:t>
      </w:r>
      <w:r w:rsidR="00A22D7E">
        <w:t xml:space="preserve">, welk </w:t>
      </w:r>
      <w:r w:rsidR="004D0D59">
        <w:t>format</w:t>
      </w:r>
      <w:r>
        <w:t>, aanpassen zaaksysteem, gezamenlijke invoermodule?).</w:t>
      </w:r>
      <w:r w:rsidR="004D0D59">
        <w:t xml:space="preserve"> </w:t>
      </w:r>
      <w:r w:rsidR="00E463FD">
        <w:t xml:space="preserve">DCMR </w:t>
      </w:r>
      <w:r w:rsidR="004D0D59">
        <w:t xml:space="preserve">en </w:t>
      </w:r>
      <w:r w:rsidR="00E463FD">
        <w:t xml:space="preserve">Geodan </w:t>
      </w:r>
      <w:r w:rsidR="004D0D59">
        <w:t xml:space="preserve">gaan verkennen wat de mogelijkheden zijn voor het gebruiken van een tijdelijke </w:t>
      </w:r>
      <w:r w:rsidR="004D0D59">
        <w:lastRenderedPageBreak/>
        <w:t>REV database, zodat een begin gemaakt kan worden met het registeren van de benodigde Omgevingswet-data, vooruitlopend aan het geautomatiseerd aanbieden van de data aan het REV.</w:t>
      </w:r>
    </w:p>
    <w:p w:rsidR="00AD2C40" w:rsidRDefault="00C53627" w:rsidP="007C26B7">
      <w:pPr>
        <w:pStyle w:val="Lijstalinea"/>
        <w:numPr>
          <w:ilvl w:val="0"/>
          <w:numId w:val="5"/>
        </w:numPr>
        <w:spacing w:after="0" w:line="276" w:lineRule="auto"/>
      </w:pPr>
      <w:r>
        <w:t xml:space="preserve">Rianne maakt samen </w:t>
      </w:r>
      <w:r w:rsidRPr="00C53627">
        <w:t xml:space="preserve">met ODNL </w:t>
      </w:r>
      <w:r>
        <w:t xml:space="preserve">een </w:t>
      </w:r>
      <w:r w:rsidRPr="00C53627">
        <w:t xml:space="preserve">overzicht </w:t>
      </w:r>
      <w:r>
        <w:t xml:space="preserve">van de mogelijkheden </w:t>
      </w:r>
      <w:r w:rsidR="00AD2C40">
        <w:t xml:space="preserve">aan tools </w:t>
      </w:r>
      <w:r>
        <w:t>voor bronhouders</w:t>
      </w:r>
      <w:r w:rsidR="00AD2C40">
        <w:t xml:space="preserve"> </w:t>
      </w:r>
      <w:r w:rsidR="00E463FD">
        <w:t>die een brug kunnen slaan tussen de eigen data en het REV.</w:t>
      </w:r>
    </w:p>
    <w:p w:rsidR="00671B01" w:rsidRDefault="00E17538" w:rsidP="007C0AEA">
      <w:pPr>
        <w:pStyle w:val="Lijstalinea"/>
        <w:numPr>
          <w:ilvl w:val="0"/>
          <w:numId w:val="5"/>
        </w:numPr>
        <w:spacing w:after="0" w:line="276" w:lineRule="auto"/>
      </w:pPr>
      <w:r>
        <w:t xml:space="preserve">VNG en IenW kunnen VTH-zaaksysteemleveranciers een duwtje in de rug geven om aan de slag te gaan met REV aanpassingen. </w:t>
      </w:r>
      <w:r w:rsidR="00671B01">
        <w:t>Er zijn</w:t>
      </w:r>
      <w:r>
        <w:t xml:space="preserve"> gesprek</w:t>
      </w:r>
      <w:r w:rsidR="00671B01">
        <w:t>ken</w:t>
      </w:r>
      <w:r>
        <w:t xml:space="preserve"> over het organiseren van een leveranciersbijeenkomst over het REV. </w:t>
      </w:r>
    </w:p>
    <w:p w:rsidR="00E17538" w:rsidRDefault="00E17538" w:rsidP="007C0AEA">
      <w:pPr>
        <w:pStyle w:val="Lijstalinea"/>
        <w:numPr>
          <w:ilvl w:val="0"/>
          <w:numId w:val="5"/>
        </w:numPr>
        <w:spacing w:after="0" w:line="276" w:lineRule="auto"/>
      </w:pPr>
      <w:r>
        <w:t xml:space="preserve">Een overzicht van </w:t>
      </w:r>
      <w:r w:rsidR="00534859">
        <w:t xml:space="preserve">de </w:t>
      </w:r>
      <w:r>
        <w:t>leverancier</w:t>
      </w:r>
      <w:r w:rsidR="00534859">
        <w:t>s</w:t>
      </w:r>
      <w:r>
        <w:t xml:space="preserve"> van VTH system</w:t>
      </w:r>
      <w:r w:rsidR="00534859">
        <w:t>en</w:t>
      </w:r>
      <w:r>
        <w:t xml:space="preserve"> per </w:t>
      </w:r>
      <w:r w:rsidR="00534859">
        <w:t>bevoegd gezag/</w:t>
      </w:r>
      <w:r>
        <w:t xml:space="preserve">bronhouder ontbreekt. </w:t>
      </w:r>
      <w:r w:rsidR="00534859">
        <w:t>Deze v</w:t>
      </w:r>
      <w:r>
        <w:t xml:space="preserve">raag wordt opgenomen in de enquête voor bronhouders. </w:t>
      </w:r>
    </w:p>
    <w:p w:rsidR="00534859" w:rsidRDefault="00420C56" w:rsidP="007C0AEA">
      <w:pPr>
        <w:pStyle w:val="Lijstalinea"/>
        <w:numPr>
          <w:ilvl w:val="0"/>
          <w:numId w:val="5"/>
        </w:numPr>
        <w:spacing w:after="0" w:line="276" w:lineRule="auto"/>
      </w:pPr>
      <w:r>
        <w:t xml:space="preserve">Om </w:t>
      </w:r>
      <w:r w:rsidR="00F0564C">
        <w:t xml:space="preserve">op korte termijn </w:t>
      </w:r>
      <w:r>
        <w:t>een terugkoppeling te geven op de voo</w:t>
      </w:r>
      <w:r w:rsidR="00257BEC">
        <w:t>rtgang van hetgeen besproken is</w:t>
      </w:r>
      <w:r w:rsidR="00E463FD">
        <w:t xml:space="preserve"> </w:t>
      </w:r>
      <w:r w:rsidR="00257BEC">
        <w:t xml:space="preserve">in </w:t>
      </w:r>
      <w:r>
        <w:t xml:space="preserve">dit overleg zal op 25 maart 2021 de volgende bronhoudersoverleg plaatsvinden. </w:t>
      </w:r>
      <w:r w:rsidR="00C754F0">
        <w:t xml:space="preserve">RWS </w:t>
      </w:r>
      <w:r>
        <w:t>stuurt uitnodiging</w:t>
      </w:r>
      <w:r w:rsidR="00F0564C">
        <w:t>.</w:t>
      </w:r>
    </w:p>
    <w:p w:rsidR="00534859" w:rsidRDefault="00534859" w:rsidP="007C0AEA">
      <w:pPr>
        <w:spacing w:after="0" w:line="276" w:lineRule="auto"/>
      </w:pPr>
    </w:p>
    <w:p w:rsidR="00396AAC" w:rsidRDefault="00396AAC" w:rsidP="007C0AEA">
      <w:pPr>
        <w:spacing w:after="0" w:line="276" w:lineRule="auto"/>
      </w:pPr>
    </w:p>
    <w:p w:rsidR="00231331" w:rsidRPr="007C0AEA" w:rsidRDefault="00D57CA6" w:rsidP="007C0AEA">
      <w:pPr>
        <w:spacing w:after="0" w:line="276" w:lineRule="auto"/>
        <w:rPr>
          <w:b/>
        </w:rPr>
      </w:pPr>
      <w:r w:rsidRPr="007C0AEA">
        <w:rPr>
          <w:b/>
        </w:rPr>
        <w:t>Bijlage 1 actielijst</w:t>
      </w:r>
      <w:r w:rsidRPr="007C0AEA">
        <w:rPr>
          <w:b/>
        </w:rPr>
        <w:br/>
        <w:t>Bijlage 2</w:t>
      </w:r>
      <w:r w:rsidR="00231331" w:rsidRPr="007C0AEA">
        <w:rPr>
          <w:b/>
        </w:rPr>
        <w:t xml:space="preserve"> deelnemerslijst</w:t>
      </w:r>
      <w:r w:rsidRPr="007C0AEA">
        <w:rPr>
          <w:b/>
        </w:rPr>
        <w:t xml:space="preserve"> (organisaties)</w:t>
      </w:r>
    </w:p>
    <w:p w:rsidR="0037426A" w:rsidRDefault="00534859" w:rsidP="007C0AEA">
      <w:pPr>
        <w:spacing w:after="0" w:line="276" w:lineRule="auto"/>
      </w:pPr>
      <w:r>
        <w:br/>
      </w:r>
    </w:p>
    <w:p w:rsidR="0037426A" w:rsidRDefault="0037426A" w:rsidP="007C0AEA">
      <w:pPr>
        <w:spacing w:after="0" w:line="276" w:lineRule="auto"/>
      </w:pPr>
      <w:r>
        <w:br w:type="page"/>
      </w:r>
    </w:p>
    <w:p w:rsidR="00D91EE8" w:rsidRPr="007C0AEA" w:rsidRDefault="00231331" w:rsidP="007C0AEA">
      <w:pPr>
        <w:spacing w:after="0" w:line="276" w:lineRule="auto"/>
        <w:rPr>
          <w:b/>
        </w:rPr>
      </w:pPr>
      <w:r w:rsidRPr="007C0AEA">
        <w:rPr>
          <w:b/>
        </w:rPr>
        <w:lastRenderedPageBreak/>
        <w:t>Bijlage 1 actielijst</w:t>
      </w:r>
    </w:p>
    <w:p w:rsidR="00231331" w:rsidRDefault="00231331" w:rsidP="007C0AEA">
      <w:pPr>
        <w:spacing w:after="0" w:line="276" w:lineRule="auto"/>
      </w:pPr>
    </w:p>
    <w:tbl>
      <w:tblPr>
        <w:tblStyle w:val="Tabelraster"/>
        <w:tblW w:w="9918" w:type="dxa"/>
        <w:tblLook w:val="04A0" w:firstRow="1" w:lastRow="0" w:firstColumn="1" w:lastColumn="0" w:noHBand="0" w:noVBand="1"/>
      </w:tblPr>
      <w:tblGrid>
        <w:gridCol w:w="6374"/>
        <w:gridCol w:w="3544"/>
      </w:tblGrid>
      <w:tr w:rsidR="00F8460F" w:rsidTr="007C0AEA">
        <w:tc>
          <w:tcPr>
            <w:tcW w:w="6374" w:type="dxa"/>
          </w:tcPr>
          <w:p w:rsidR="00F8460F" w:rsidRDefault="00F8460F" w:rsidP="007C0AEA">
            <w:pPr>
              <w:spacing w:line="276" w:lineRule="auto"/>
            </w:pPr>
            <w:r>
              <w:t>Actie</w:t>
            </w:r>
          </w:p>
        </w:tc>
        <w:tc>
          <w:tcPr>
            <w:tcW w:w="3544" w:type="dxa"/>
          </w:tcPr>
          <w:p w:rsidR="00F8460F" w:rsidRDefault="00F8460F" w:rsidP="007C0AEA">
            <w:pPr>
              <w:spacing w:line="276" w:lineRule="auto"/>
            </w:pPr>
            <w:r>
              <w:t>Actiehouder</w:t>
            </w:r>
          </w:p>
        </w:tc>
      </w:tr>
      <w:tr w:rsidR="00F8460F" w:rsidTr="007C0AEA">
        <w:tc>
          <w:tcPr>
            <w:tcW w:w="6374" w:type="dxa"/>
          </w:tcPr>
          <w:p w:rsidR="00F8460F" w:rsidRDefault="00F8460F" w:rsidP="007C0AEA">
            <w:pPr>
              <w:spacing w:line="276" w:lineRule="auto"/>
            </w:pPr>
            <w:r>
              <w:t xml:space="preserve">In de week van 1 maart </w:t>
            </w:r>
            <w:r w:rsidR="0037426A">
              <w:t xml:space="preserve">wordt </w:t>
            </w:r>
            <w:r>
              <w:t xml:space="preserve">het concept gegevenswoordenboek met de bronhouders </w:t>
            </w:r>
            <w:r w:rsidR="0037426A">
              <w:t xml:space="preserve">gedeeld </w:t>
            </w:r>
            <w:r>
              <w:t xml:space="preserve">via </w:t>
            </w:r>
            <w:r w:rsidR="0037426A">
              <w:t>de REV-</w:t>
            </w:r>
            <w:r>
              <w:t>website</w:t>
            </w:r>
            <w:r w:rsidR="00BC24A4">
              <w:t>.</w:t>
            </w:r>
          </w:p>
        </w:tc>
        <w:tc>
          <w:tcPr>
            <w:tcW w:w="3544" w:type="dxa"/>
          </w:tcPr>
          <w:p w:rsidR="00F8460F" w:rsidRDefault="00C754F0" w:rsidP="007C0AEA">
            <w:pPr>
              <w:spacing w:line="276" w:lineRule="auto"/>
            </w:pPr>
            <w:r>
              <w:t>RWS</w:t>
            </w:r>
          </w:p>
        </w:tc>
      </w:tr>
      <w:tr w:rsidR="00F8460F" w:rsidTr="007C0AEA">
        <w:tc>
          <w:tcPr>
            <w:tcW w:w="6374" w:type="dxa"/>
          </w:tcPr>
          <w:p w:rsidR="00F8460F" w:rsidRDefault="00F8460F" w:rsidP="007C0AEA">
            <w:pPr>
              <w:spacing w:line="276" w:lineRule="auto"/>
            </w:pPr>
            <w:r>
              <w:t xml:space="preserve">Bronhouders kunnen eventuele vragen, suggesties voor wijzigingen in het gegevenswoordenboek doorgeven aan </w:t>
            </w:r>
            <w:hyperlink r:id="rId11" w:history="1">
              <w:r w:rsidRPr="00183338">
                <w:rPr>
                  <w:rStyle w:val="Hyperlink"/>
                </w:rPr>
                <w:t>REV@RWS.nl</w:t>
              </w:r>
            </w:hyperlink>
            <w:r>
              <w:t>.</w:t>
            </w:r>
          </w:p>
        </w:tc>
        <w:tc>
          <w:tcPr>
            <w:tcW w:w="3544" w:type="dxa"/>
          </w:tcPr>
          <w:p w:rsidR="00F8460F" w:rsidRDefault="006F3B88" w:rsidP="007C0AEA">
            <w:pPr>
              <w:spacing w:line="276" w:lineRule="auto"/>
            </w:pPr>
            <w:r>
              <w:t>Bronhouders</w:t>
            </w:r>
          </w:p>
        </w:tc>
      </w:tr>
      <w:tr w:rsidR="00F8460F" w:rsidTr="007C0AEA">
        <w:tc>
          <w:tcPr>
            <w:tcW w:w="6374" w:type="dxa"/>
          </w:tcPr>
          <w:p w:rsidR="00F8460F" w:rsidRDefault="00F8460F" w:rsidP="007C0AEA">
            <w:pPr>
              <w:spacing w:line="276" w:lineRule="auto"/>
            </w:pPr>
            <w:r>
              <w:t xml:space="preserve">RWS organiseert i.s.m. </w:t>
            </w:r>
            <w:r w:rsidR="00A40B26">
              <w:t>Geonovum</w:t>
            </w:r>
            <w:r>
              <w:t xml:space="preserve"> en Antea een sessie met de bronhouders over het lezen van het gegevenswoordenboek i.c.m. het informatiemodel.</w:t>
            </w:r>
          </w:p>
        </w:tc>
        <w:tc>
          <w:tcPr>
            <w:tcW w:w="3544" w:type="dxa"/>
          </w:tcPr>
          <w:p w:rsidR="00F8460F" w:rsidRDefault="00C754F0" w:rsidP="007C0AEA">
            <w:pPr>
              <w:spacing w:line="276" w:lineRule="auto"/>
            </w:pPr>
            <w:r>
              <w:t>RWS</w:t>
            </w:r>
            <w:r w:rsidR="00F8460F">
              <w:t xml:space="preserve"> i.s.m. Antea en </w:t>
            </w:r>
            <w:r w:rsidR="00A40B26">
              <w:t>Geonovum</w:t>
            </w:r>
          </w:p>
        </w:tc>
      </w:tr>
      <w:tr w:rsidR="00F8460F" w:rsidTr="007C0AEA">
        <w:tc>
          <w:tcPr>
            <w:tcW w:w="6374" w:type="dxa"/>
          </w:tcPr>
          <w:p w:rsidR="00F8460F" w:rsidRDefault="006F3B88" w:rsidP="007C0AEA">
            <w:pPr>
              <w:spacing w:line="276" w:lineRule="auto"/>
            </w:pPr>
            <w:r>
              <w:t xml:space="preserve">Eventuele wensen m.b.t. </w:t>
            </w:r>
            <w:r w:rsidR="0037426A">
              <w:t xml:space="preserve">de </w:t>
            </w:r>
            <w:r>
              <w:t xml:space="preserve">volgorde </w:t>
            </w:r>
            <w:r w:rsidR="0037426A">
              <w:t xml:space="preserve">van migratie van </w:t>
            </w:r>
            <w:r>
              <w:t xml:space="preserve">activiteiten </w:t>
            </w:r>
            <w:r w:rsidR="0037426A">
              <w:t>vanuit het RRGS naar het REV kunnen worden doorgegeven via REV@RWS.nl</w:t>
            </w:r>
            <w:r>
              <w:t>.</w:t>
            </w:r>
          </w:p>
        </w:tc>
        <w:tc>
          <w:tcPr>
            <w:tcW w:w="3544" w:type="dxa"/>
          </w:tcPr>
          <w:p w:rsidR="00F8460F" w:rsidRDefault="006F3B88" w:rsidP="007C0AEA">
            <w:pPr>
              <w:spacing w:line="276" w:lineRule="auto"/>
            </w:pPr>
            <w:r>
              <w:t>Bronhouders</w:t>
            </w:r>
          </w:p>
        </w:tc>
      </w:tr>
      <w:tr w:rsidR="00F8460F" w:rsidTr="007C0AEA">
        <w:tc>
          <w:tcPr>
            <w:tcW w:w="6374" w:type="dxa"/>
          </w:tcPr>
          <w:p w:rsidR="00F8460F" w:rsidRDefault="00BC24A4" w:rsidP="007C0AEA">
            <w:pPr>
              <w:spacing w:line="276" w:lineRule="auto"/>
            </w:pPr>
            <w:r>
              <w:t>Communicatie over eerste delta activiteit buisleidingen</w:t>
            </w:r>
            <w:r w:rsidR="0037426A">
              <w:t xml:space="preserve"> volgt vanuit de pilot.</w:t>
            </w:r>
          </w:p>
        </w:tc>
        <w:tc>
          <w:tcPr>
            <w:tcW w:w="3544" w:type="dxa"/>
          </w:tcPr>
          <w:p w:rsidR="00F8460F" w:rsidRDefault="00C754F0" w:rsidP="007C0AEA">
            <w:pPr>
              <w:spacing w:line="276" w:lineRule="auto"/>
            </w:pPr>
            <w:r>
              <w:t>RWS</w:t>
            </w:r>
            <w:r w:rsidR="00BC24A4">
              <w:t xml:space="preserve"> i.s.m. Geodan</w:t>
            </w:r>
          </w:p>
        </w:tc>
      </w:tr>
      <w:tr w:rsidR="00F8460F" w:rsidTr="007C0AEA">
        <w:tc>
          <w:tcPr>
            <w:tcW w:w="6374" w:type="dxa"/>
          </w:tcPr>
          <w:p w:rsidR="00F8460F" w:rsidRDefault="00D471DD" w:rsidP="007C0AEA">
            <w:pPr>
              <w:spacing w:line="276" w:lineRule="auto"/>
            </w:pPr>
            <w:r>
              <w:t xml:space="preserve">Enquête uitzetten onder bronhouders over hoeveelheid werk en tijd nodig is voor </w:t>
            </w:r>
            <w:r w:rsidR="0037426A">
              <w:t>de aansluiting op het</w:t>
            </w:r>
            <w:r>
              <w:t xml:space="preserve"> REV. </w:t>
            </w:r>
            <w:r w:rsidR="0037426A">
              <w:t xml:space="preserve">De enquête wordt ook </w:t>
            </w:r>
            <w:r>
              <w:t>gebruik</w:t>
            </w:r>
            <w:r w:rsidR="0037426A">
              <w:t>t</w:t>
            </w:r>
            <w:r>
              <w:t xml:space="preserve"> voor </w:t>
            </w:r>
            <w:r w:rsidR="0037426A">
              <w:t xml:space="preserve">de </w:t>
            </w:r>
            <w:r>
              <w:t>inventarisatie zaaksysteem leverancier per bronhouder</w:t>
            </w:r>
            <w:r w:rsidR="0037426A">
              <w:t>/bevoegd gezag</w:t>
            </w:r>
            <w:r>
              <w:t>.</w:t>
            </w:r>
          </w:p>
        </w:tc>
        <w:tc>
          <w:tcPr>
            <w:tcW w:w="3544" w:type="dxa"/>
          </w:tcPr>
          <w:p w:rsidR="00F8460F" w:rsidRDefault="00C754F0" w:rsidP="007C0AEA">
            <w:pPr>
              <w:spacing w:line="276" w:lineRule="auto"/>
            </w:pPr>
            <w:r>
              <w:t>RWS en Ministerie IENW</w:t>
            </w:r>
          </w:p>
        </w:tc>
      </w:tr>
      <w:tr w:rsidR="00F8460F" w:rsidTr="007C0AEA">
        <w:tc>
          <w:tcPr>
            <w:tcW w:w="6374" w:type="dxa"/>
          </w:tcPr>
          <w:p w:rsidR="00F8460F" w:rsidRDefault="0037426A" w:rsidP="007C0AEA">
            <w:pPr>
              <w:spacing w:line="276" w:lineRule="auto"/>
            </w:pPr>
            <w:r>
              <w:t xml:space="preserve">In de zomer volgt een </w:t>
            </w:r>
            <w:r w:rsidR="00B803BF">
              <w:t>2</w:t>
            </w:r>
            <w:r w:rsidR="00B803BF" w:rsidRPr="00B803BF">
              <w:rPr>
                <w:vertAlign w:val="superscript"/>
              </w:rPr>
              <w:t>e</w:t>
            </w:r>
            <w:r w:rsidR="00B803BF">
              <w:t xml:space="preserve"> brief over opdrachtgeverschap van het REV aan gemeenten, provincies, omgevingsdiensten en koepels</w:t>
            </w:r>
          </w:p>
        </w:tc>
        <w:tc>
          <w:tcPr>
            <w:tcW w:w="3544" w:type="dxa"/>
          </w:tcPr>
          <w:p w:rsidR="00F8460F" w:rsidRDefault="00C754F0" w:rsidP="007C0AEA">
            <w:pPr>
              <w:spacing w:line="276" w:lineRule="auto"/>
            </w:pPr>
            <w:r>
              <w:t>Ministerie IENW</w:t>
            </w:r>
          </w:p>
        </w:tc>
      </w:tr>
      <w:tr w:rsidR="00B803BF" w:rsidTr="007C0AEA">
        <w:tc>
          <w:tcPr>
            <w:tcW w:w="6374" w:type="dxa"/>
          </w:tcPr>
          <w:p w:rsidR="00B803BF" w:rsidRDefault="00651B89" w:rsidP="00E463FD">
            <w:pPr>
              <w:spacing w:line="276" w:lineRule="auto"/>
            </w:pPr>
            <w:r>
              <w:t xml:space="preserve">Bij12 heeft een concept van een invoertool. Rianne gaat onderzoeken of invoertool van Bij12 gebruikt kan worden voor </w:t>
            </w:r>
            <w:r w:rsidR="0037426A">
              <w:t xml:space="preserve">het </w:t>
            </w:r>
            <w:r>
              <w:t xml:space="preserve">voeden van het REV. </w:t>
            </w:r>
            <w:r w:rsidR="00E463FD">
              <w:t xml:space="preserve">OD Rivierenland </w:t>
            </w:r>
            <w:r>
              <w:t xml:space="preserve">stuurt extra info over </w:t>
            </w:r>
            <w:r w:rsidR="0037426A">
              <w:t xml:space="preserve">de </w:t>
            </w:r>
            <w:r>
              <w:t>invoertool naar Rianne.</w:t>
            </w:r>
            <w:r w:rsidR="008525D4">
              <w:t xml:space="preserve"> </w:t>
            </w:r>
          </w:p>
        </w:tc>
        <w:tc>
          <w:tcPr>
            <w:tcW w:w="3544" w:type="dxa"/>
          </w:tcPr>
          <w:p w:rsidR="00B803BF" w:rsidRDefault="00C754F0" w:rsidP="00C754F0">
            <w:pPr>
              <w:spacing w:line="276" w:lineRule="auto"/>
            </w:pPr>
            <w:r>
              <w:t>Ministerie IENW</w:t>
            </w:r>
            <w:r w:rsidR="008525D4">
              <w:t>, ODNL en</w:t>
            </w:r>
            <w:r w:rsidR="00651B89">
              <w:t xml:space="preserve"> </w:t>
            </w:r>
            <w:r>
              <w:t>ODRivierenland</w:t>
            </w:r>
            <w:r w:rsidR="00651B89">
              <w:t xml:space="preserve"> </w:t>
            </w:r>
          </w:p>
        </w:tc>
      </w:tr>
      <w:tr w:rsidR="00671B01" w:rsidTr="007C0AEA">
        <w:tc>
          <w:tcPr>
            <w:tcW w:w="6374" w:type="dxa"/>
          </w:tcPr>
          <w:p w:rsidR="00671B01" w:rsidRDefault="00671B01" w:rsidP="007C0AEA">
            <w:pPr>
              <w:spacing w:line="276" w:lineRule="auto"/>
            </w:pPr>
            <w:r w:rsidRPr="008525D4">
              <w:t xml:space="preserve">Rianne </w:t>
            </w:r>
            <w:r>
              <w:t>overlegt met VNG over het organiseren van een bijeenkomst voor zaaksysteemleveranciers over het REV</w:t>
            </w:r>
            <w:r w:rsidRPr="008525D4">
              <w:t>.</w:t>
            </w:r>
          </w:p>
        </w:tc>
        <w:tc>
          <w:tcPr>
            <w:tcW w:w="3544" w:type="dxa"/>
          </w:tcPr>
          <w:p w:rsidR="00671B01" w:rsidRPr="00C51881" w:rsidRDefault="00C754F0" w:rsidP="007C0AEA">
            <w:pPr>
              <w:spacing w:line="276" w:lineRule="auto"/>
            </w:pPr>
            <w:r>
              <w:t>Ministerie IENW</w:t>
            </w:r>
            <w:r w:rsidDel="00C754F0">
              <w:t xml:space="preserve"> </w:t>
            </w:r>
            <w:r w:rsidR="00671B01">
              <w:t>en VNG</w:t>
            </w:r>
          </w:p>
        </w:tc>
      </w:tr>
      <w:tr w:rsidR="0037426A" w:rsidTr="007C0AEA">
        <w:tc>
          <w:tcPr>
            <w:tcW w:w="6374" w:type="dxa"/>
          </w:tcPr>
          <w:p w:rsidR="0037426A" w:rsidRDefault="00E463FD" w:rsidP="007C0AEA">
            <w:pPr>
              <w:spacing w:line="276" w:lineRule="auto"/>
            </w:pPr>
            <w:r>
              <w:t xml:space="preserve">Rianne maakt samen </w:t>
            </w:r>
            <w:r w:rsidRPr="00C53627">
              <w:t xml:space="preserve">met ODNL </w:t>
            </w:r>
            <w:r>
              <w:t xml:space="preserve">een </w:t>
            </w:r>
            <w:r w:rsidRPr="00C53627">
              <w:t xml:space="preserve">overzicht </w:t>
            </w:r>
            <w:r>
              <w:t>van de mogelijkheden aan tools voor bronhouders die een brug kunnen slaan tussen de eigen data en het REV.</w:t>
            </w:r>
          </w:p>
        </w:tc>
        <w:tc>
          <w:tcPr>
            <w:tcW w:w="3544" w:type="dxa"/>
          </w:tcPr>
          <w:p w:rsidR="0037426A" w:rsidRPr="00C51881" w:rsidRDefault="00C754F0" w:rsidP="007C0AEA">
            <w:pPr>
              <w:spacing w:line="276" w:lineRule="auto"/>
            </w:pPr>
            <w:r>
              <w:t>Ministerie IENW</w:t>
            </w:r>
            <w:r w:rsidDel="00C754F0">
              <w:t xml:space="preserve"> </w:t>
            </w:r>
            <w:r w:rsidR="0037426A">
              <w:t>en ODNL</w:t>
            </w:r>
          </w:p>
        </w:tc>
      </w:tr>
      <w:tr w:rsidR="00651B89" w:rsidTr="007C0AEA">
        <w:tc>
          <w:tcPr>
            <w:tcW w:w="6374" w:type="dxa"/>
          </w:tcPr>
          <w:p w:rsidR="00651B89" w:rsidRDefault="00E463FD" w:rsidP="00E463FD">
            <w:pPr>
              <w:spacing w:line="276" w:lineRule="auto"/>
            </w:pPr>
            <w:r>
              <w:lastRenderedPageBreak/>
              <w:t xml:space="preserve">DCMR </w:t>
            </w:r>
            <w:r w:rsidR="009E283F">
              <w:t xml:space="preserve">en </w:t>
            </w:r>
            <w:r>
              <w:t xml:space="preserve">Geodan </w:t>
            </w:r>
            <w:r w:rsidR="009E283F">
              <w:t xml:space="preserve">gaan verkennen wat mogelijkheden zijn voor het </w:t>
            </w:r>
            <w:r w:rsidR="0037426A">
              <w:t xml:space="preserve">(tijdelijk) </w:t>
            </w:r>
            <w:r w:rsidR="009E283F">
              <w:t>registeren van data</w:t>
            </w:r>
            <w:r w:rsidR="0037426A">
              <w:t>, vooruitlopend op</w:t>
            </w:r>
            <w:r w:rsidR="009E283F">
              <w:t xml:space="preserve"> aanbieden aan het REV.</w:t>
            </w:r>
            <w:r w:rsidR="00257BEC">
              <w:t xml:space="preserve"> Koppelen dit terug aan Rianne.</w:t>
            </w:r>
          </w:p>
        </w:tc>
        <w:tc>
          <w:tcPr>
            <w:tcW w:w="3544" w:type="dxa"/>
          </w:tcPr>
          <w:p w:rsidR="00651B89" w:rsidRDefault="00C754F0" w:rsidP="00C754F0">
            <w:pPr>
              <w:spacing w:line="276" w:lineRule="auto"/>
            </w:pPr>
            <w:r>
              <w:t>DCMR</w:t>
            </w:r>
            <w:r w:rsidR="009E283F">
              <w:t xml:space="preserve"> en </w:t>
            </w:r>
            <w:r>
              <w:t>Geodan</w:t>
            </w:r>
          </w:p>
        </w:tc>
      </w:tr>
      <w:tr w:rsidR="00257BEC" w:rsidTr="007C0AEA">
        <w:tc>
          <w:tcPr>
            <w:tcW w:w="6374" w:type="dxa"/>
          </w:tcPr>
          <w:p w:rsidR="00257BEC" w:rsidRDefault="00257BEC" w:rsidP="007C0AEA">
            <w:pPr>
              <w:spacing w:line="276" w:lineRule="auto"/>
            </w:pPr>
            <w:r>
              <w:t>Uitnodiging sturen voor 4</w:t>
            </w:r>
            <w:r w:rsidRPr="00257BEC">
              <w:rPr>
                <w:vertAlign w:val="superscript"/>
              </w:rPr>
              <w:t>de</w:t>
            </w:r>
            <w:r>
              <w:t xml:space="preserve"> bronhoudersoverleg op 25 maart 2021.</w:t>
            </w:r>
          </w:p>
        </w:tc>
        <w:tc>
          <w:tcPr>
            <w:tcW w:w="3544" w:type="dxa"/>
          </w:tcPr>
          <w:p w:rsidR="00257BEC" w:rsidRPr="00C51881" w:rsidRDefault="00C754F0" w:rsidP="007C0AEA">
            <w:pPr>
              <w:spacing w:line="276" w:lineRule="auto"/>
            </w:pPr>
            <w:r>
              <w:t>RWS</w:t>
            </w:r>
          </w:p>
        </w:tc>
      </w:tr>
    </w:tbl>
    <w:p w:rsidR="00231331" w:rsidRDefault="00231331" w:rsidP="007C0AEA">
      <w:pPr>
        <w:spacing w:after="0" w:line="276" w:lineRule="auto"/>
      </w:pPr>
    </w:p>
    <w:p w:rsidR="00D91EE8" w:rsidRDefault="00D91EE8" w:rsidP="007C0AEA">
      <w:pPr>
        <w:spacing w:after="0" w:line="276" w:lineRule="auto"/>
      </w:pPr>
      <w:r>
        <w:br w:type="page"/>
      </w:r>
    </w:p>
    <w:p w:rsidR="00231331" w:rsidRDefault="00231331" w:rsidP="007C0AEA">
      <w:pPr>
        <w:spacing w:after="0" w:line="276" w:lineRule="auto"/>
      </w:pPr>
    </w:p>
    <w:p w:rsidR="00C51881" w:rsidRDefault="00CB5BEA" w:rsidP="007C0AEA">
      <w:pPr>
        <w:spacing w:after="0" w:line="276" w:lineRule="auto"/>
        <w:rPr>
          <w:b/>
        </w:rPr>
      </w:pPr>
      <w:r w:rsidRPr="007C0AEA">
        <w:rPr>
          <w:b/>
        </w:rPr>
        <w:t>B</w:t>
      </w:r>
      <w:r w:rsidR="00231331" w:rsidRPr="007C0AEA">
        <w:rPr>
          <w:b/>
        </w:rPr>
        <w:t>ijlage 3</w:t>
      </w:r>
      <w:r w:rsidRPr="007C0AEA">
        <w:rPr>
          <w:b/>
        </w:rPr>
        <w:t xml:space="preserve"> </w:t>
      </w:r>
      <w:r w:rsidR="00C51881" w:rsidRPr="007C0AEA">
        <w:rPr>
          <w:b/>
        </w:rPr>
        <w:t>Deelnemerslijst</w:t>
      </w:r>
      <w:r w:rsidR="00755790" w:rsidRPr="007C0AEA">
        <w:rPr>
          <w:b/>
        </w:rPr>
        <w:t xml:space="preserve"> </w:t>
      </w:r>
    </w:p>
    <w:p w:rsidR="00396AAC" w:rsidRPr="007C0AEA" w:rsidRDefault="00396AAC" w:rsidP="007C0AEA">
      <w:pPr>
        <w:spacing w:after="0" w:line="276" w:lineRule="auto"/>
        <w:rPr>
          <w:b/>
        </w:rPr>
      </w:pPr>
    </w:p>
    <w:tbl>
      <w:tblPr>
        <w:tblStyle w:val="Tabel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D57CA6" w:rsidRPr="00C51881" w:rsidTr="007C0AEA">
        <w:trPr>
          <w:trHeight w:val="225"/>
        </w:trPr>
        <w:tc>
          <w:tcPr>
            <w:tcW w:w="7371" w:type="dxa"/>
          </w:tcPr>
          <w:p w:rsidR="00D57CA6" w:rsidRPr="00C51881" w:rsidRDefault="00D57CA6" w:rsidP="007C0AEA">
            <w:pPr>
              <w:spacing w:line="276" w:lineRule="auto"/>
            </w:pPr>
            <w:r>
              <w:t>Organisatie</w:t>
            </w:r>
          </w:p>
        </w:tc>
      </w:tr>
      <w:tr w:rsidR="00D57CA6" w:rsidRPr="00C51881" w:rsidTr="007C0AEA">
        <w:trPr>
          <w:trHeight w:val="225"/>
        </w:trPr>
        <w:tc>
          <w:tcPr>
            <w:tcW w:w="7371" w:type="dxa"/>
          </w:tcPr>
          <w:p w:rsidR="00D57CA6" w:rsidRPr="000A4807" w:rsidRDefault="00D57CA6" w:rsidP="007C0AEA">
            <w:pPr>
              <w:spacing w:line="276" w:lineRule="auto"/>
              <w:rPr>
                <w:rFonts w:ascii="Segoe UI" w:eastAsia="Times New Roman" w:hAnsi="Segoe UI" w:cs="Segoe UI"/>
                <w:sz w:val="21"/>
                <w:szCs w:val="21"/>
                <w:lang w:eastAsia="nl-NL"/>
              </w:rPr>
            </w:pPr>
            <w:r w:rsidRPr="000A4807">
              <w:rPr>
                <w:rFonts w:ascii="Segoe UI" w:eastAsia="Times New Roman" w:hAnsi="Segoe UI" w:cs="Segoe UI"/>
                <w:sz w:val="21"/>
                <w:szCs w:val="21"/>
                <w:lang w:eastAsia="nl-NL"/>
              </w:rPr>
              <w:t>N.V Nederlandse Gasunie</w:t>
            </w:r>
          </w:p>
        </w:tc>
      </w:tr>
      <w:tr w:rsidR="00D57CA6" w:rsidRPr="00C51881" w:rsidTr="007C0AEA">
        <w:trPr>
          <w:trHeight w:val="230"/>
        </w:trPr>
        <w:tc>
          <w:tcPr>
            <w:tcW w:w="7371" w:type="dxa"/>
          </w:tcPr>
          <w:p w:rsidR="00D57CA6" w:rsidRPr="00C51881" w:rsidRDefault="00D57CA6" w:rsidP="007C0AEA">
            <w:pPr>
              <w:spacing w:line="276" w:lineRule="auto"/>
            </w:pPr>
            <w:r>
              <w:t>Omgevingsdienst Regio Nijmegen</w:t>
            </w:r>
          </w:p>
        </w:tc>
      </w:tr>
      <w:tr w:rsidR="00D57CA6" w:rsidRPr="00C51881" w:rsidTr="007C0AEA">
        <w:trPr>
          <w:trHeight w:val="276"/>
        </w:trPr>
        <w:tc>
          <w:tcPr>
            <w:tcW w:w="7371" w:type="dxa"/>
          </w:tcPr>
          <w:p w:rsidR="00D57CA6" w:rsidRPr="00C51881" w:rsidRDefault="00D57CA6" w:rsidP="007C0AEA">
            <w:pPr>
              <w:spacing w:line="276" w:lineRule="auto"/>
            </w:pPr>
            <w:r>
              <w:t>DCMR</w:t>
            </w:r>
          </w:p>
        </w:tc>
      </w:tr>
      <w:tr w:rsidR="00D57CA6" w:rsidRPr="00C51881" w:rsidTr="007C0AEA">
        <w:trPr>
          <w:trHeight w:val="230"/>
        </w:trPr>
        <w:tc>
          <w:tcPr>
            <w:tcW w:w="7371" w:type="dxa"/>
          </w:tcPr>
          <w:p w:rsidR="00D57CA6" w:rsidRPr="00C51881" w:rsidRDefault="00D57CA6" w:rsidP="007C0AEA">
            <w:pPr>
              <w:spacing w:line="276" w:lineRule="auto"/>
            </w:pPr>
            <w:r>
              <w:t xml:space="preserve">Inspectie Leefomgeving en Transport </w:t>
            </w:r>
          </w:p>
        </w:tc>
      </w:tr>
      <w:tr w:rsidR="00D57CA6" w:rsidRPr="00C51881" w:rsidTr="007C0AEA">
        <w:trPr>
          <w:trHeight w:val="230"/>
        </w:trPr>
        <w:tc>
          <w:tcPr>
            <w:tcW w:w="7371" w:type="dxa"/>
          </w:tcPr>
          <w:p w:rsidR="00D57CA6" w:rsidRPr="00C51881" w:rsidRDefault="00D57CA6" w:rsidP="007C0AEA">
            <w:pPr>
              <w:spacing w:line="276" w:lineRule="auto"/>
            </w:pPr>
            <w:r w:rsidRPr="00777BCC">
              <w:t>Omgevingsdienst Noord-Holland Noord</w:t>
            </w:r>
          </w:p>
        </w:tc>
      </w:tr>
      <w:tr w:rsidR="00D57CA6" w:rsidRPr="00C51881" w:rsidTr="007C0AEA">
        <w:trPr>
          <w:trHeight w:val="274"/>
        </w:trPr>
        <w:tc>
          <w:tcPr>
            <w:tcW w:w="7371" w:type="dxa"/>
          </w:tcPr>
          <w:p w:rsidR="00D57CA6" w:rsidRPr="00C51881" w:rsidRDefault="00D57CA6" w:rsidP="007C0AEA">
            <w:pPr>
              <w:spacing w:line="276" w:lineRule="auto"/>
            </w:pPr>
            <w:r w:rsidRPr="00777BCC">
              <w:t>Omgevingsdienst Zuid-Holland Zuid</w:t>
            </w:r>
          </w:p>
        </w:tc>
      </w:tr>
      <w:tr w:rsidR="00D57CA6" w:rsidRPr="00C51881" w:rsidTr="007C0AEA">
        <w:trPr>
          <w:trHeight w:val="230"/>
        </w:trPr>
        <w:tc>
          <w:tcPr>
            <w:tcW w:w="7371" w:type="dxa"/>
          </w:tcPr>
          <w:p w:rsidR="00D57CA6" w:rsidRPr="00C51881" w:rsidRDefault="00D57CA6" w:rsidP="007C0AEA">
            <w:pPr>
              <w:spacing w:line="276" w:lineRule="auto"/>
            </w:pPr>
            <w:r w:rsidRPr="00777BCC">
              <w:t>RUD Drenthe</w:t>
            </w:r>
          </w:p>
        </w:tc>
      </w:tr>
      <w:tr w:rsidR="00D57CA6" w:rsidRPr="00C51881" w:rsidTr="007C0AEA">
        <w:trPr>
          <w:trHeight w:val="110"/>
        </w:trPr>
        <w:tc>
          <w:tcPr>
            <w:tcW w:w="7371" w:type="dxa"/>
          </w:tcPr>
          <w:p w:rsidR="00D57CA6" w:rsidRPr="00C51881" w:rsidRDefault="00D57CA6" w:rsidP="007C0AEA">
            <w:pPr>
              <w:spacing w:line="276" w:lineRule="auto"/>
            </w:pPr>
            <w:r>
              <w:t>OD rivierenland</w:t>
            </w:r>
          </w:p>
        </w:tc>
      </w:tr>
      <w:tr w:rsidR="00D57CA6" w:rsidRPr="00C51881" w:rsidTr="007C0AEA">
        <w:trPr>
          <w:trHeight w:val="230"/>
        </w:trPr>
        <w:tc>
          <w:tcPr>
            <w:tcW w:w="7371" w:type="dxa"/>
          </w:tcPr>
          <w:p w:rsidR="00D57CA6" w:rsidRPr="00C51881" w:rsidRDefault="00D57CA6" w:rsidP="007C0AEA">
            <w:pPr>
              <w:spacing w:line="276" w:lineRule="auto"/>
            </w:pPr>
            <w:r w:rsidRPr="00777BCC">
              <w:t>Omgevingsdienst Zuidoost-Brabant</w:t>
            </w:r>
          </w:p>
        </w:tc>
      </w:tr>
      <w:tr w:rsidR="00D57CA6" w:rsidRPr="00C51881" w:rsidTr="007C0AEA">
        <w:trPr>
          <w:trHeight w:val="104"/>
        </w:trPr>
        <w:tc>
          <w:tcPr>
            <w:tcW w:w="7371" w:type="dxa"/>
          </w:tcPr>
          <w:p w:rsidR="00D57CA6" w:rsidRPr="00C51881" w:rsidRDefault="00D57CA6" w:rsidP="007C0AEA">
            <w:pPr>
              <w:spacing w:line="276" w:lineRule="auto"/>
            </w:pPr>
            <w:r w:rsidRPr="00892808">
              <w:t>Fryske Utfieringstsjinst Miljeu en Omjouwing</w:t>
            </w:r>
          </w:p>
        </w:tc>
      </w:tr>
      <w:tr w:rsidR="00D57CA6" w:rsidRPr="00C51881" w:rsidTr="007C0AEA">
        <w:trPr>
          <w:trHeight w:val="230"/>
        </w:trPr>
        <w:tc>
          <w:tcPr>
            <w:tcW w:w="7371" w:type="dxa"/>
          </w:tcPr>
          <w:p w:rsidR="00D57CA6" w:rsidRPr="00C51881" w:rsidRDefault="00D57CA6" w:rsidP="007C0AEA">
            <w:pPr>
              <w:spacing w:line="276" w:lineRule="auto"/>
            </w:pPr>
            <w:r w:rsidRPr="00777BCC">
              <w:t>Omgevingsdienst Midden- en West-Brabant</w:t>
            </w:r>
          </w:p>
        </w:tc>
      </w:tr>
      <w:tr w:rsidR="00D57CA6" w:rsidRPr="00C51881" w:rsidTr="007C0AEA">
        <w:trPr>
          <w:trHeight w:val="230"/>
        </w:trPr>
        <w:tc>
          <w:tcPr>
            <w:tcW w:w="7371" w:type="dxa"/>
          </w:tcPr>
          <w:p w:rsidR="00D57CA6" w:rsidRPr="00C51881" w:rsidRDefault="00D57CA6" w:rsidP="007C0AEA">
            <w:pPr>
              <w:spacing w:line="276" w:lineRule="auto"/>
            </w:pPr>
            <w:r>
              <w:t>I-GO</w:t>
            </w:r>
          </w:p>
        </w:tc>
      </w:tr>
      <w:tr w:rsidR="00D57CA6" w:rsidRPr="00C51881" w:rsidTr="007C0AEA">
        <w:trPr>
          <w:trHeight w:val="134"/>
        </w:trPr>
        <w:tc>
          <w:tcPr>
            <w:tcW w:w="7371" w:type="dxa"/>
          </w:tcPr>
          <w:p w:rsidR="00D57CA6" w:rsidRPr="00C51881" w:rsidRDefault="00D57CA6" w:rsidP="007C0AEA">
            <w:pPr>
              <w:spacing w:line="276" w:lineRule="auto"/>
            </w:pPr>
            <w:r>
              <w:t>Ministerie van IenW</w:t>
            </w:r>
          </w:p>
        </w:tc>
      </w:tr>
      <w:tr w:rsidR="00D57CA6" w:rsidRPr="00C51881" w:rsidTr="007C0AEA">
        <w:trPr>
          <w:trHeight w:val="142"/>
        </w:trPr>
        <w:tc>
          <w:tcPr>
            <w:tcW w:w="7371" w:type="dxa"/>
          </w:tcPr>
          <w:p w:rsidR="00D57CA6" w:rsidRPr="00C51881" w:rsidRDefault="00D57CA6" w:rsidP="007C0AEA">
            <w:pPr>
              <w:spacing w:line="276" w:lineRule="auto"/>
            </w:pPr>
            <w:r w:rsidRPr="00777BCC">
              <w:t>DCMR Milieudienst Rijnmond</w:t>
            </w:r>
          </w:p>
        </w:tc>
      </w:tr>
      <w:tr w:rsidR="00D57CA6" w:rsidRPr="00C51881" w:rsidTr="007C0AEA">
        <w:trPr>
          <w:trHeight w:val="146"/>
        </w:trPr>
        <w:tc>
          <w:tcPr>
            <w:tcW w:w="7371" w:type="dxa"/>
          </w:tcPr>
          <w:p w:rsidR="00D57CA6" w:rsidRPr="008775E4" w:rsidRDefault="00D57CA6" w:rsidP="007C0AEA">
            <w:pPr>
              <w:spacing w:line="276" w:lineRule="auto"/>
              <w:rPr>
                <w:rFonts w:cstheme="minorHAnsi"/>
              </w:rPr>
            </w:pPr>
            <w:r w:rsidRPr="008775E4">
              <w:rPr>
                <w:rFonts w:cstheme="minorHAnsi"/>
              </w:rPr>
              <w:t>Omgevingsdienst Midden- en West-Brabant</w:t>
            </w:r>
          </w:p>
        </w:tc>
      </w:tr>
      <w:tr w:rsidR="00D57CA6" w:rsidRPr="00C51881" w:rsidTr="007C0AEA">
        <w:trPr>
          <w:trHeight w:val="230"/>
        </w:trPr>
        <w:tc>
          <w:tcPr>
            <w:tcW w:w="7371" w:type="dxa"/>
          </w:tcPr>
          <w:p w:rsidR="00D57CA6" w:rsidRPr="008775E4" w:rsidRDefault="00D57CA6" w:rsidP="007C0AEA">
            <w:pPr>
              <w:spacing w:line="276" w:lineRule="auto"/>
              <w:rPr>
                <w:rFonts w:cstheme="minorHAnsi"/>
              </w:rPr>
            </w:pPr>
            <w:r w:rsidRPr="00892808">
              <w:rPr>
                <w:rFonts w:cstheme="minorHAnsi"/>
              </w:rPr>
              <w:t>Omgevingsdienst regio Utrecht</w:t>
            </w:r>
          </w:p>
        </w:tc>
      </w:tr>
      <w:tr w:rsidR="00D57CA6" w:rsidRPr="00C51881" w:rsidTr="007C0AEA">
        <w:trPr>
          <w:trHeight w:val="176"/>
        </w:trPr>
        <w:tc>
          <w:tcPr>
            <w:tcW w:w="7371" w:type="dxa"/>
          </w:tcPr>
          <w:p w:rsidR="00D57CA6" w:rsidRPr="008775E4" w:rsidRDefault="00D57CA6" w:rsidP="007C0AEA">
            <w:pPr>
              <w:spacing w:line="276" w:lineRule="auto"/>
              <w:rPr>
                <w:rFonts w:cstheme="minorHAnsi"/>
              </w:rPr>
            </w:pPr>
            <w:r w:rsidRPr="00892808">
              <w:t>Fryske Utfieringstsjinst Miljeu en Omjouwing</w:t>
            </w:r>
          </w:p>
        </w:tc>
      </w:tr>
      <w:tr w:rsidR="00D57CA6" w:rsidRPr="00C51881" w:rsidTr="007C0AEA">
        <w:trPr>
          <w:trHeight w:val="166"/>
        </w:trPr>
        <w:tc>
          <w:tcPr>
            <w:tcW w:w="7371" w:type="dxa"/>
          </w:tcPr>
          <w:p w:rsidR="00D57CA6" w:rsidRPr="008775E4" w:rsidRDefault="00D57CA6" w:rsidP="007C0AEA">
            <w:pPr>
              <w:spacing w:line="276" w:lineRule="auto"/>
              <w:rPr>
                <w:rFonts w:eastAsia="Times New Roman" w:cstheme="minorHAnsi"/>
                <w:lang w:eastAsia="nl-NL"/>
              </w:rPr>
            </w:pPr>
            <w:r w:rsidRPr="008775E4">
              <w:rPr>
                <w:rFonts w:eastAsia="Times New Roman" w:cstheme="minorHAnsi"/>
                <w:lang w:eastAsia="nl-NL"/>
              </w:rPr>
              <w:t xml:space="preserve">Omgevingsdienst Flevoland, Gooi en Vechtstreek </w:t>
            </w:r>
          </w:p>
        </w:tc>
      </w:tr>
      <w:tr w:rsidR="00D57CA6" w:rsidRPr="00C51881" w:rsidTr="007C0AEA">
        <w:trPr>
          <w:trHeight w:val="230"/>
        </w:trPr>
        <w:tc>
          <w:tcPr>
            <w:tcW w:w="7371" w:type="dxa"/>
          </w:tcPr>
          <w:p w:rsidR="00D57CA6" w:rsidRPr="008775E4" w:rsidRDefault="00D57CA6" w:rsidP="007C0AEA">
            <w:pPr>
              <w:spacing w:line="276" w:lineRule="auto"/>
              <w:rPr>
                <w:rFonts w:eastAsia="Times New Roman" w:cstheme="minorHAnsi"/>
                <w:lang w:eastAsia="nl-NL"/>
              </w:rPr>
            </w:pPr>
            <w:r w:rsidRPr="008775E4">
              <w:rPr>
                <w:rFonts w:eastAsia="Times New Roman" w:cstheme="minorHAnsi"/>
                <w:lang w:eastAsia="nl-NL"/>
              </w:rPr>
              <w:t>Omgevingsdienst Regio Nijmegen</w:t>
            </w:r>
            <w:r w:rsidRPr="0049094C">
              <w:rPr>
                <w:rFonts w:eastAsia="Times New Roman" w:cstheme="minorHAnsi"/>
                <w:lang w:eastAsia="nl-NL"/>
              </w:rPr>
              <w:t>/ IGO</w:t>
            </w:r>
            <w:r w:rsidRPr="008775E4">
              <w:rPr>
                <w:rFonts w:eastAsia="Times New Roman" w:cstheme="minorHAnsi"/>
                <w:lang w:eastAsia="nl-NL"/>
              </w:rPr>
              <w:t xml:space="preserve"> </w:t>
            </w:r>
          </w:p>
        </w:tc>
      </w:tr>
      <w:tr w:rsidR="00D57CA6" w:rsidRPr="00C51881" w:rsidTr="007C0AEA">
        <w:trPr>
          <w:trHeight w:val="174"/>
        </w:trPr>
        <w:tc>
          <w:tcPr>
            <w:tcW w:w="7371" w:type="dxa"/>
          </w:tcPr>
          <w:p w:rsidR="00D57CA6" w:rsidRPr="008775E4" w:rsidRDefault="00D57CA6" w:rsidP="007C0AEA">
            <w:pPr>
              <w:spacing w:line="276" w:lineRule="auto"/>
              <w:rPr>
                <w:rFonts w:cstheme="minorHAnsi"/>
              </w:rPr>
            </w:pPr>
            <w:r w:rsidRPr="008775E4">
              <w:rPr>
                <w:rFonts w:cstheme="minorHAnsi"/>
              </w:rPr>
              <w:t>Omgevingsdienst Midden- en West-Brabant</w:t>
            </w:r>
          </w:p>
        </w:tc>
      </w:tr>
      <w:tr w:rsidR="00D57CA6" w:rsidRPr="00C51881" w:rsidTr="007C0AEA">
        <w:trPr>
          <w:trHeight w:val="178"/>
        </w:trPr>
        <w:tc>
          <w:tcPr>
            <w:tcW w:w="7371" w:type="dxa"/>
          </w:tcPr>
          <w:p w:rsidR="00D57CA6" w:rsidRPr="008775E4" w:rsidRDefault="00D57CA6" w:rsidP="007C0AEA">
            <w:pPr>
              <w:spacing w:line="276" w:lineRule="auto"/>
              <w:rPr>
                <w:rFonts w:cstheme="minorHAnsi"/>
              </w:rPr>
            </w:pPr>
            <w:r>
              <w:t>Omgevingsdienst Ijmond</w:t>
            </w:r>
          </w:p>
        </w:tc>
      </w:tr>
      <w:tr w:rsidR="00D57CA6" w:rsidRPr="00C51881" w:rsidTr="007C0AEA">
        <w:trPr>
          <w:trHeight w:val="230"/>
        </w:trPr>
        <w:tc>
          <w:tcPr>
            <w:tcW w:w="7371" w:type="dxa"/>
          </w:tcPr>
          <w:p w:rsidR="00D57CA6" w:rsidRPr="008775E4" w:rsidRDefault="00D57CA6" w:rsidP="007C0AEA">
            <w:pPr>
              <w:spacing w:line="276" w:lineRule="auto"/>
              <w:rPr>
                <w:rFonts w:cstheme="minorHAnsi"/>
              </w:rPr>
            </w:pPr>
            <w:r w:rsidRPr="008775E4">
              <w:rPr>
                <w:rFonts w:cstheme="minorHAnsi"/>
              </w:rPr>
              <w:t>De Vereniging van Leidingeigenaren in Nederland</w:t>
            </w:r>
          </w:p>
        </w:tc>
      </w:tr>
      <w:tr w:rsidR="00D57CA6" w:rsidRPr="00C51881" w:rsidTr="007C0AEA">
        <w:trPr>
          <w:trHeight w:val="186"/>
        </w:trPr>
        <w:tc>
          <w:tcPr>
            <w:tcW w:w="7371" w:type="dxa"/>
          </w:tcPr>
          <w:p w:rsidR="00D57CA6" w:rsidRPr="008775E4" w:rsidRDefault="00D57CA6" w:rsidP="007C0AEA">
            <w:pPr>
              <w:spacing w:line="276" w:lineRule="auto"/>
              <w:rPr>
                <w:rFonts w:cstheme="minorHAnsi"/>
              </w:rPr>
            </w:pPr>
            <w:r w:rsidRPr="008775E4">
              <w:rPr>
                <w:rFonts w:cstheme="minorHAnsi"/>
              </w:rPr>
              <w:t>RUD Zeeland</w:t>
            </w:r>
          </w:p>
        </w:tc>
      </w:tr>
      <w:tr w:rsidR="00D57CA6" w:rsidRPr="00C51881" w:rsidTr="007C0AEA">
        <w:trPr>
          <w:trHeight w:val="230"/>
        </w:trPr>
        <w:tc>
          <w:tcPr>
            <w:tcW w:w="7371" w:type="dxa"/>
          </w:tcPr>
          <w:p w:rsidR="00D57CA6" w:rsidRPr="00C51881" w:rsidRDefault="00D57CA6" w:rsidP="007C0AEA">
            <w:pPr>
              <w:spacing w:line="276" w:lineRule="auto"/>
            </w:pPr>
            <w:r w:rsidRPr="00EF5191">
              <w:t>Geodan en projectteam REV</w:t>
            </w:r>
            <w:r>
              <w:t xml:space="preserve"> </w:t>
            </w:r>
          </w:p>
        </w:tc>
      </w:tr>
      <w:tr w:rsidR="00D57CA6" w:rsidRPr="00C51881" w:rsidTr="007C0AEA">
        <w:trPr>
          <w:trHeight w:val="230"/>
        </w:trPr>
        <w:tc>
          <w:tcPr>
            <w:tcW w:w="7371" w:type="dxa"/>
          </w:tcPr>
          <w:p w:rsidR="00D57CA6" w:rsidRPr="00C51881" w:rsidRDefault="00D57CA6" w:rsidP="007C0AEA">
            <w:pPr>
              <w:spacing w:line="276" w:lineRule="auto"/>
            </w:pPr>
            <w:r w:rsidRPr="00990412">
              <w:t>Omgevingsdienst regio Utrecht</w:t>
            </w:r>
            <w:r>
              <w:t xml:space="preserve"> </w:t>
            </w:r>
          </w:p>
        </w:tc>
      </w:tr>
      <w:tr w:rsidR="00D57CA6" w:rsidRPr="00C51881" w:rsidTr="007C0AEA">
        <w:trPr>
          <w:trHeight w:val="74"/>
        </w:trPr>
        <w:tc>
          <w:tcPr>
            <w:tcW w:w="7371" w:type="dxa"/>
          </w:tcPr>
          <w:p w:rsidR="00D57CA6" w:rsidRPr="00C51881" w:rsidRDefault="00D57CA6" w:rsidP="007C0AEA">
            <w:pPr>
              <w:spacing w:line="276" w:lineRule="auto"/>
            </w:pPr>
            <w:r w:rsidRPr="00777BCC">
              <w:t>Omgevingsdienst Midden- en West-Brabant</w:t>
            </w:r>
          </w:p>
        </w:tc>
      </w:tr>
      <w:tr w:rsidR="00D57CA6" w:rsidRPr="00C51881" w:rsidTr="007C0AEA">
        <w:trPr>
          <w:trHeight w:val="78"/>
        </w:trPr>
        <w:tc>
          <w:tcPr>
            <w:tcW w:w="7371" w:type="dxa"/>
          </w:tcPr>
          <w:p w:rsidR="00D57CA6" w:rsidRPr="00C51881" w:rsidRDefault="00D57CA6" w:rsidP="007C0AEA">
            <w:pPr>
              <w:spacing w:line="276" w:lineRule="auto"/>
            </w:pPr>
            <w:r w:rsidRPr="00777BCC">
              <w:lastRenderedPageBreak/>
              <w:t>Omgevingsdienst Achterhoek</w:t>
            </w:r>
          </w:p>
        </w:tc>
      </w:tr>
      <w:tr w:rsidR="00D57CA6" w:rsidRPr="00C51881" w:rsidTr="007C0AEA">
        <w:trPr>
          <w:trHeight w:val="230"/>
        </w:trPr>
        <w:tc>
          <w:tcPr>
            <w:tcW w:w="7371" w:type="dxa"/>
          </w:tcPr>
          <w:p w:rsidR="00D57CA6" w:rsidRPr="00C51881" w:rsidRDefault="00D57CA6" w:rsidP="007C0AEA">
            <w:pPr>
              <w:spacing w:line="276" w:lineRule="auto"/>
            </w:pPr>
            <w:r>
              <w:t xml:space="preserve">Rijkswaterstaat </w:t>
            </w:r>
          </w:p>
        </w:tc>
      </w:tr>
    </w:tbl>
    <w:p w:rsidR="00D57CA6" w:rsidRDefault="00D57CA6" w:rsidP="007C0AEA">
      <w:pPr>
        <w:spacing w:after="0" w:line="276" w:lineRule="auto"/>
      </w:pPr>
    </w:p>
    <w:p w:rsidR="00396AAC" w:rsidRDefault="00396AAC" w:rsidP="007C0AEA">
      <w:pPr>
        <w:spacing w:after="0" w:line="276" w:lineRule="auto"/>
      </w:pPr>
    </w:p>
    <w:p w:rsidR="00396AAC" w:rsidRDefault="00396AAC" w:rsidP="007C0AEA">
      <w:pPr>
        <w:spacing w:after="0" w:line="276" w:lineRule="auto"/>
        <w:sectPr w:rsidR="00396AAC" w:rsidSect="00D57CA6">
          <w:type w:val="continuous"/>
          <w:pgSz w:w="11906" w:h="16838"/>
          <w:pgMar w:top="1417" w:right="1417" w:bottom="1417" w:left="1417" w:header="708" w:footer="708" w:gutter="0"/>
          <w:cols w:space="708"/>
          <w:docGrid w:linePitch="360"/>
        </w:sectPr>
      </w:pPr>
    </w:p>
    <w:tbl>
      <w:tblPr>
        <w:tblStyle w:val="Tabelraster"/>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D57CA6" w:rsidRPr="00C51881" w:rsidTr="00D57CA6">
        <w:trPr>
          <w:trHeight w:val="50"/>
        </w:trPr>
        <w:tc>
          <w:tcPr>
            <w:tcW w:w="4673" w:type="dxa"/>
          </w:tcPr>
          <w:p w:rsidR="00D57CA6" w:rsidRPr="00C51881" w:rsidRDefault="00D57CA6" w:rsidP="007C0AEA">
            <w:pPr>
              <w:spacing w:line="276" w:lineRule="auto"/>
            </w:pPr>
          </w:p>
        </w:tc>
      </w:tr>
    </w:tbl>
    <w:p w:rsidR="0090479C" w:rsidRDefault="0090479C" w:rsidP="007C0AEA">
      <w:pPr>
        <w:spacing w:after="0" w:line="276" w:lineRule="auto"/>
      </w:pPr>
    </w:p>
    <w:sectPr w:rsidR="0090479C" w:rsidSect="00D57CA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E319E"/>
    <w:multiLevelType w:val="hybridMultilevel"/>
    <w:tmpl w:val="8764882C"/>
    <w:lvl w:ilvl="0" w:tplc="B942B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13652D"/>
    <w:multiLevelType w:val="hybridMultilevel"/>
    <w:tmpl w:val="09E019AA"/>
    <w:lvl w:ilvl="0" w:tplc="B942B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E771C2"/>
    <w:multiLevelType w:val="hybridMultilevel"/>
    <w:tmpl w:val="DBCCAB8C"/>
    <w:lvl w:ilvl="0" w:tplc="2172761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4A24F1"/>
    <w:multiLevelType w:val="hybridMultilevel"/>
    <w:tmpl w:val="F2A680D0"/>
    <w:lvl w:ilvl="0" w:tplc="B942B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9737EA"/>
    <w:multiLevelType w:val="hybridMultilevel"/>
    <w:tmpl w:val="9208E7BE"/>
    <w:lvl w:ilvl="0" w:tplc="D12C140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1B10D5"/>
    <w:multiLevelType w:val="hybridMultilevel"/>
    <w:tmpl w:val="6914BA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88B444B"/>
    <w:multiLevelType w:val="hybridMultilevel"/>
    <w:tmpl w:val="219A76B8"/>
    <w:lvl w:ilvl="0" w:tplc="0856061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5200B2"/>
    <w:multiLevelType w:val="hybridMultilevel"/>
    <w:tmpl w:val="C88C4AFC"/>
    <w:lvl w:ilvl="0" w:tplc="B942BF26">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350D6C"/>
    <w:multiLevelType w:val="hybridMultilevel"/>
    <w:tmpl w:val="B20C2452"/>
    <w:lvl w:ilvl="0" w:tplc="B942BF26">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401D60"/>
    <w:multiLevelType w:val="hybridMultilevel"/>
    <w:tmpl w:val="621E7C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D9B5F63"/>
    <w:multiLevelType w:val="hybridMultilevel"/>
    <w:tmpl w:val="2B1C4F90"/>
    <w:lvl w:ilvl="0" w:tplc="21A8901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0E5F33"/>
    <w:multiLevelType w:val="hybridMultilevel"/>
    <w:tmpl w:val="F29C048A"/>
    <w:lvl w:ilvl="0" w:tplc="B942B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B13F43"/>
    <w:multiLevelType w:val="hybridMultilevel"/>
    <w:tmpl w:val="1D22E8B8"/>
    <w:lvl w:ilvl="0" w:tplc="FD24DA6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FCD52B3"/>
    <w:multiLevelType w:val="hybridMultilevel"/>
    <w:tmpl w:val="B47A5308"/>
    <w:lvl w:ilvl="0" w:tplc="BE3EE5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8"/>
  </w:num>
  <w:num w:numId="5">
    <w:abstractNumId w:val="1"/>
  </w:num>
  <w:num w:numId="6">
    <w:abstractNumId w:val="10"/>
  </w:num>
  <w:num w:numId="7">
    <w:abstractNumId w:val="4"/>
  </w:num>
  <w:num w:numId="8">
    <w:abstractNumId w:val="12"/>
  </w:num>
  <w:num w:numId="9">
    <w:abstractNumId w:val="6"/>
  </w:num>
  <w:num w:numId="10">
    <w:abstractNumId w:val="13"/>
  </w:num>
  <w:num w:numId="11">
    <w:abstractNumId w:val="2"/>
  </w:num>
  <w:num w:numId="12">
    <w:abstractNumId w:val="9"/>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6E"/>
    <w:rsid w:val="00010F50"/>
    <w:rsid w:val="000A4807"/>
    <w:rsid w:val="000B1AEF"/>
    <w:rsid w:val="000F5227"/>
    <w:rsid w:val="00110680"/>
    <w:rsid w:val="00123520"/>
    <w:rsid w:val="0012536F"/>
    <w:rsid w:val="00151208"/>
    <w:rsid w:val="0019031C"/>
    <w:rsid w:val="001D5985"/>
    <w:rsid w:val="001D7AA9"/>
    <w:rsid w:val="001F582C"/>
    <w:rsid w:val="00231331"/>
    <w:rsid w:val="00243786"/>
    <w:rsid w:val="00255FB4"/>
    <w:rsid w:val="00257BEC"/>
    <w:rsid w:val="002818DA"/>
    <w:rsid w:val="002D33FA"/>
    <w:rsid w:val="002D6116"/>
    <w:rsid w:val="002E07A6"/>
    <w:rsid w:val="002E1091"/>
    <w:rsid w:val="002E7F3A"/>
    <w:rsid w:val="002F0CFC"/>
    <w:rsid w:val="002F6264"/>
    <w:rsid w:val="00307974"/>
    <w:rsid w:val="00361696"/>
    <w:rsid w:val="0037426A"/>
    <w:rsid w:val="00385E8C"/>
    <w:rsid w:val="00396AAC"/>
    <w:rsid w:val="003B1DF4"/>
    <w:rsid w:val="00420C56"/>
    <w:rsid w:val="00477B48"/>
    <w:rsid w:val="00490111"/>
    <w:rsid w:val="0049094C"/>
    <w:rsid w:val="004B6D08"/>
    <w:rsid w:val="004C2A07"/>
    <w:rsid w:val="004D0D59"/>
    <w:rsid w:val="005102C5"/>
    <w:rsid w:val="00534859"/>
    <w:rsid w:val="00547A0A"/>
    <w:rsid w:val="005536AC"/>
    <w:rsid w:val="0056143E"/>
    <w:rsid w:val="0056433B"/>
    <w:rsid w:val="005721E8"/>
    <w:rsid w:val="00590B68"/>
    <w:rsid w:val="005966B4"/>
    <w:rsid w:val="005A038D"/>
    <w:rsid w:val="005A285C"/>
    <w:rsid w:val="005C7446"/>
    <w:rsid w:val="005D0A1F"/>
    <w:rsid w:val="005D10BD"/>
    <w:rsid w:val="005F1C18"/>
    <w:rsid w:val="006011A8"/>
    <w:rsid w:val="00651B89"/>
    <w:rsid w:val="00660C4B"/>
    <w:rsid w:val="00671B01"/>
    <w:rsid w:val="006C2C5F"/>
    <w:rsid w:val="006E1B16"/>
    <w:rsid w:val="006F3B88"/>
    <w:rsid w:val="006F547F"/>
    <w:rsid w:val="00705203"/>
    <w:rsid w:val="00726DD6"/>
    <w:rsid w:val="00733FE8"/>
    <w:rsid w:val="00745C09"/>
    <w:rsid w:val="00755790"/>
    <w:rsid w:val="00762D03"/>
    <w:rsid w:val="00766019"/>
    <w:rsid w:val="00775EAA"/>
    <w:rsid w:val="00777BCC"/>
    <w:rsid w:val="00786B78"/>
    <w:rsid w:val="0078758B"/>
    <w:rsid w:val="007B1F1A"/>
    <w:rsid w:val="007C0AEA"/>
    <w:rsid w:val="007D488F"/>
    <w:rsid w:val="007E13B5"/>
    <w:rsid w:val="0080606E"/>
    <w:rsid w:val="00847EAB"/>
    <w:rsid w:val="008525D4"/>
    <w:rsid w:val="008700BB"/>
    <w:rsid w:val="00870E10"/>
    <w:rsid w:val="00872BC9"/>
    <w:rsid w:val="00875132"/>
    <w:rsid w:val="008775E4"/>
    <w:rsid w:val="00887445"/>
    <w:rsid w:val="00892808"/>
    <w:rsid w:val="0090479C"/>
    <w:rsid w:val="009047F0"/>
    <w:rsid w:val="0096572A"/>
    <w:rsid w:val="00974246"/>
    <w:rsid w:val="00990412"/>
    <w:rsid w:val="009C1894"/>
    <w:rsid w:val="009C1F17"/>
    <w:rsid w:val="009D15CD"/>
    <w:rsid w:val="009E0EAE"/>
    <w:rsid w:val="009E1DD8"/>
    <w:rsid w:val="009E283F"/>
    <w:rsid w:val="00A11565"/>
    <w:rsid w:val="00A11E07"/>
    <w:rsid w:val="00A131B6"/>
    <w:rsid w:val="00A22D7E"/>
    <w:rsid w:val="00A40B26"/>
    <w:rsid w:val="00A8697A"/>
    <w:rsid w:val="00AB71C6"/>
    <w:rsid w:val="00AD22C2"/>
    <w:rsid w:val="00AD2C40"/>
    <w:rsid w:val="00B05BFF"/>
    <w:rsid w:val="00B3379D"/>
    <w:rsid w:val="00B446E7"/>
    <w:rsid w:val="00B66C43"/>
    <w:rsid w:val="00B66E20"/>
    <w:rsid w:val="00B803BF"/>
    <w:rsid w:val="00B91611"/>
    <w:rsid w:val="00B9697E"/>
    <w:rsid w:val="00BA41B9"/>
    <w:rsid w:val="00BC1886"/>
    <w:rsid w:val="00BC24A4"/>
    <w:rsid w:val="00BC792C"/>
    <w:rsid w:val="00BD0B25"/>
    <w:rsid w:val="00BD5EAB"/>
    <w:rsid w:val="00BE4D47"/>
    <w:rsid w:val="00C02D18"/>
    <w:rsid w:val="00C03C26"/>
    <w:rsid w:val="00C10612"/>
    <w:rsid w:val="00C179C6"/>
    <w:rsid w:val="00C222D3"/>
    <w:rsid w:val="00C24A25"/>
    <w:rsid w:val="00C51881"/>
    <w:rsid w:val="00C53627"/>
    <w:rsid w:val="00C754F0"/>
    <w:rsid w:val="00CB0F13"/>
    <w:rsid w:val="00CB5BEA"/>
    <w:rsid w:val="00CE585E"/>
    <w:rsid w:val="00D21590"/>
    <w:rsid w:val="00D34494"/>
    <w:rsid w:val="00D471DD"/>
    <w:rsid w:val="00D53AD4"/>
    <w:rsid w:val="00D57CA6"/>
    <w:rsid w:val="00D71167"/>
    <w:rsid w:val="00D868E9"/>
    <w:rsid w:val="00D91EE8"/>
    <w:rsid w:val="00D9663A"/>
    <w:rsid w:val="00DB4DA4"/>
    <w:rsid w:val="00DC1FCA"/>
    <w:rsid w:val="00DD049E"/>
    <w:rsid w:val="00DE225E"/>
    <w:rsid w:val="00E17538"/>
    <w:rsid w:val="00E17871"/>
    <w:rsid w:val="00E44951"/>
    <w:rsid w:val="00E463FD"/>
    <w:rsid w:val="00E53F24"/>
    <w:rsid w:val="00E60D83"/>
    <w:rsid w:val="00E9315B"/>
    <w:rsid w:val="00ED6299"/>
    <w:rsid w:val="00EF5191"/>
    <w:rsid w:val="00F0564C"/>
    <w:rsid w:val="00F0792B"/>
    <w:rsid w:val="00F33E06"/>
    <w:rsid w:val="00F41333"/>
    <w:rsid w:val="00F846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7C8C9-A7BE-47B1-B106-FE36EC1F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433B"/>
    <w:pPr>
      <w:ind w:left="720"/>
      <w:contextualSpacing/>
    </w:pPr>
  </w:style>
  <w:style w:type="table" w:styleId="Tabelraster">
    <w:name w:val="Table Grid"/>
    <w:basedOn w:val="Standaardtabel"/>
    <w:uiPriority w:val="39"/>
    <w:rsid w:val="00C5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85E8C"/>
    <w:rPr>
      <w:color w:val="0563C1" w:themeColor="hyperlink"/>
      <w:u w:val="single"/>
    </w:rPr>
  </w:style>
  <w:style w:type="character" w:styleId="GevolgdeHyperlink">
    <w:name w:val="FollowedHyperlink"/>
    <w:basedOn w:val="Standaardalinea-lettertype"/>
    <w:uiPriority w:val="99"/>
    <w:semiHidden/>
    <w:unhideWhenUsed/>
    <w:rsid w:val="00B803BF"/>
    <w:rPr>
      <w:color w:val="954F72" w:themeColor="followedHyperlink"/>
      <w:u w:val="single"/>
    </w:rPr>
  </w:style>
  <w:style w:type="character" w:styleId="Verwijzingopmerking">
    <w:name w:val="annotation reference"/>
    <w:basedOn w:val="Standaardalinea-lettertype"/>
    <w:uiPriority w:val="99"/>
    <w:semiHidden/>
    <w:unhideWhenUsed/>
    <w:rsid w:val="00490111"/>
    <w:rPr>
      <w:sz w:val="16"/>
      <w:szCs w:val="16"/>
    </w:rPr>
  </w:style>
  <w:style w:type="paragraph" w:styleId="Tekstopmerking">
    <w:name w:val="annotation text"/>
    <w:basedOn w:val="Standaard"/>
    <w:link w:val="TekstopmerkingChar"/>
    <w:uiPriority w:val="99"/>
    <w:semiHidden/>
    <w:unhideWhenUsed/>
    <w:rsid w:val="0049011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90111"/>
    <w:rPr>
      <w:sz w:val="20"/>
      <w:szCs w:val="20"/>
    </w:rPr>
  </w:style>
  <w:style w:type="paragraph" w:styleId="Onderwerpvanopmerking">
    <w:name w:val="annotation subject"/>
    <w:basedOn w:val="Tekstopmerking"/>
    <w:next w:val="Tekstopmerking"/>
    <w:link w:val="OnderwerpvanopmerkingChar"/>
    <w:uiPriority w:val="99"/>
    <w:semiHidden/>
    <w:unhideWhenUsed/>
    <w:rsid w:val="00490111"/>
    <w:rPr>
      <w:b/>
      <w:bCs/>
    </w:rPr>
  </w:style>
  <w:style w:type="character" w:customStyle="1" w:styleId="OnderwerpvanopmerkingChar">
    <w:name w:val="Onderwerp van opmerking Char"/>
    <w:basedOn w:val="TekstopmerkingChar"/>
    <w:link w:val="Onderwerpvanopmerking"/>
    <w:uiPriority w:val="99"/>
    <w:semiHidden/>
    <w:rsid w:val="00490111"/>
    <w:rPr>
      <w:b/>
      <w:bCs/>
      <w:sz w:val="20"/>
      <w:szCs w:val="20"/>
    </w:rPr>
  </w:style>
  <w:style w:type="paragraph" w:styleId="Ballontekst">
    <w:name w:val="Balloon Text"/>
    <w:basedOn w:val="Standaard"/>
    <w:link w:val="BallontekstChar"/>
    <w:uiPriority w:val="99"/>
    <w:semiHidden/>
    <w:unhideWhenUsed/>
    <w:rsid w:val="004901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111"/>
    <w:rPr>
      <w:rFonts w:ascii="Segoe UI" w:hAnsi="Segoe UI" w:cs="Segoe UI"/>
      <w:sz w:val="18"/>
      <w:szCs w:val="18"/>
    </w:rPr>
  </w:style>
  <w:style w:type="paragraph" w:styleId="Revisie">
    <w:name w:val="Revision"/>
    <w:hidden/>
    <w:uiPriority w:val="99"/>
    <w:semiHidden/>
    <w:rsid w:val="007C0A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8730">
      <w:bodyDiv w:val="1"/>
      <w:marLeft w:val="0"/>
      <w:marRight w:val="0"/>
      <w:marTop w:val="0"/>
      <w:marBottom w:val="0"/>
      <w:divBdr>
        <w:top w:val="none" w:sz="0" w:space="0" w:color="auto"/>
        <w:left w:val="none" w:sz="0" w:space="0" w:color="auto"/>
        <w:bottom w:val="none" w:sz="0" w:space="0" w:color="auto"/>
        <w:right w:val="none" w:sz="0" w:space="0" w:color="auto"/>
      </w:divBdr>
      <w:divsChild>
        <w:div w:id="937373168">
          <w:marLeft w:val="0"/>
          <w:marRight w:val="0"/>
          <w:marTop w:val="0"/>
          <w:marBottom w:val="0"/>
          <w:divBdr>
            <w:top w:val="none" w:sz="0" w:space="0" w:color="auto"/>
            <w:left w:val="none" w:sz="0" w:space="0" w:color="auto"/>
            <w:bottom w:val="none" w:sz="0" w:space="0" w:color="auto"/>
            <w:right w:val="none" w:sz="0" w:space="0" w:color="auto"/>
          </w:divBdr>
        </w:div>
      </w:divsChild>
    </w:div>
    <w:div w:id="138693953">
      <w:bodyDiv w:val="1"/>
      <w:marLeft w:val="0"/>
      <w:marRight w:val="0"/>
      <w:marTop w:val="0"/>
      <w:marBottom w:val="0"/>
      <w:divBdr>
        <w:top w:val="none" w:sz="0" w:space="0" w:color="auto"/>
        <w:left w:val="none" w:sz="0" w:space="0" w:color="auto"/>
        <w:bottom w:val="none" w:sz="0" w:space="0" w:color="auto"/>
        <w:right w:val="none" w:sz="0" w:space="0" w:color="auto"/>
      </w:divBdr>
    </w:div>
    <w:div w:id="167447971">
      <w:bodyDiv w:val="1"/>
      <w:marLeft w:val="0"/>
      <w:marRight w:val="0"/>
      <w:marTop w:val="0"/>
      <w:marBottom w:val="0"/>
      <w:divBdr>
        <w:top w:val="none" w:sz="0" w:space="0" w:color="auto"/>
        <w:left w:val="none" w:sz="0" w:space="0" w:color="auto"/>
        <w:bottom w:val="none" w:sz="0" w:space="0" w:color="auto"/>
        <w:right w:val="none" w:sz="0" w:space="0" w:color="auto"/>
      </w:divBdr>
      <w:divsChild>
        <w:div w:id="1227490171">
          <w:marLeft w:val="0"/>
          <w:marRight w:val="0"/>
          <w:marTop w:val="0"/>
          <w:marBottom w:val="0"/>
          <w:divBdr>
            <w:top w:val="none" w:sz="0" w:space="0" w:color="auto"/>
            <w:left w:val="none" w:sz="0" w:space="0" w:color="auto"/>
            <w:bottom w:val="none" w:sz="0" w:space="0" w:color="auto"/>
            <w:right w:val="none" w:sz="0" w:space="0" w:color="auto"/>
          </w:divBdr>
        </w:div>
      </w:divsChild>
    </w:div>
    <w:div w:id="188033247">
      <w:bodyDiv w:val="1"/>
      <w:marLeft w:val="0"/>
      <w:marRight w:val="0"/>
      <w:marTop w:val="0"/>
      <w:marBottom w:val="0"/>
      <w:divBdr>
        <w:top w:val="none" w:sz="0" w:space="0" w:color="auto"/>
        <w:left w:val="none" w:sz="0" w:space="0" w:color="auto"/>
        <w:bottom w:val="none" w:sz="0" w:space="0" w:color="auto"/>
        <w:right w:val="none" w:sz="0" w:space="0" w:color="auto"/>
      </w:divBdr>
      <w:divsChild>
        <w:div w:id="2031684789">
          <w:marLeft w:val="0"/>
          <w:marRight w:val="0"/>
          <w:marTop w:val="0"/>
          <w:marBottom w:val="0"/>
          <w:divBdr>
            <w:top w:val="none" w:sz="0" w:space="0" w:color="auto"/>
            <w:left w:val="none" w:sz="0" w:space="0" w:color="auto"/>
            <w:bottom w:val="none" w:sz="0" w:space="0" w:color="auto"/>
            <w:right w:val="none" w:sz="0" w:space="0" w:color="auto"/>
          </w:divBdr>
          <w:divsChild>
            <w:div w:id="211617368">
              <w:marLeft w:val="0"/>
              <w:marRight w:val="0"/>
              <w:marTop w:val="0"/>
              <w:marBottom w:val="0"/>
              <w:divBdr>
                <w:top w:val="none" w:sz="0" w:space="0" w:color="auto"/>
                <w:left w:val="none" w:sz="0" w:space="0" w:color="auto"/>
                <w:bottom w:val="none" w:sz="0" w:space="0" w:color="auto"/>
                <w:right w:val="none" w:sz="0" w:space="0" w:color="auto"/>
              </w:divBdr>
              <w:divsChild>
                <w:div w:id="1587761431">
                  <w:marLeft w:val="0"/>
                  <w:marRight w:val="0"/>
                  <w:marTop w:val="0"/>
                  <w:marBottom w:val="0"/>
                  <w:divBdr>
                    <w:top w:val="none" w:sz="0" w:space="0" w:color="auto"/>
                    <w:left w:val="none" w:sz="0" w:space="0" w:color="auto"/>
                    <w:bottom w:val="none" w:sz="0" w:space="0" w:color="auto"/>
                    <w:right w:val="none" w:sz="0" w:space="0" w:color="auto"/>
                  </w:divBdr>
                  <w:divsChild>
                    <w:div w:id="2095972768">
                      <w:marLeft w:val="0"/>
                      <w:marRight w:val="0"/>
                      <w:marTop w:val="0"/>
                      <w:marBottom w:val="0"/>
                      <w:divBdr>
                        <w:top w:val="none" w:sz="0" w:space="0" w:color="auto"/>
                        <w:left w:val="none" w:sz="0" w:space="0" w:color="auto"/>
                        <w:bottom w:val="none" w:sz="0" w:space="0" w:color="auto"/>
                        <w:right w:val="none" w:sz="0" w:space="0" w:color="auto"/>
                      </w:divBdr>
                      <w:divsChild>
                        <w:div w:id="19165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38012">
      <w:bodyDiv w:val="1"/>
      <w:marLeft w:val="0"/>
      <w:marRight w:val="0"/>
      <w:marTop w:val="0"/>
      <w:marBottom w:val="0"/>
      <w:divBdr>
        <w:top w:val="none" w:sz="0" w:space="0" w:color="auto"/>
        <w:left w:val="none" w:sz="0" w:space="0" w:color="auto"/>
        <w:bottom w:val="none" w:sz="0" w:space="0" w:color="auto"/>
        <w:right w:val="none" w:sz="0" w:space="0" w:color="auto"/>
      </w:divBdr>
      <w:divsChild>
        <w:div w:id="621156287">
          <w:marLeft w:val="0"/>
          <w:marRight w:val="0"/>
          <w:marTop w:val="0"/>
          <w:marBottom w:val="0"/>
          <w:divBdr>
            <w:top w:val="none" w:sz="0" w:space="0" w:color="auto"/>
            <w:left w:val="none" w:sz="0" w:space="0" w:color="auto"/>
            <w:bottom w:val="none" w:sz="0" w:space="0" w:color="auto"/>
            <w:right w:val="none" w:sz="0" w:space="0" w:color="auto"/>
          </w:divBdr>
        </w:div>
      </w:divsChild>
    </w:div>
    <w:div w:id="294067324">
      <w:bodyDiv w:val="1"/>
      <w:marLeft w:val="0"/>
      <w:marRight w:val="0"/>
      <w:marTop w:val="0"/>
      <w:marBottom w:val="0"/>
      <w:divBdr>
        <w:top w:val="none" w:sz="0" w:space="0" w:color="auto"/>
        <w:left w:val="none" w:sz="0" w:space="0" w:color="auto"/>
        <w:bottom w:val="none" w:sz="0" w:space="0" w:color="auto"/>
        <w:right w:val="none" w:sz="0" w:space="0" w:color="auto"/>
      </w:divBdr>
      <w:divsChild>
        <w:div w:id="1763332395">
          <w:marLeft w:val="0"/>
          <w:marRight w:val="0"/>
          <w:marTop w:val="0"/>
          <w:marBottom w:val="0"/>
          <w:divBdr>
            <w:top w:val="none" w:sz="0" w:space="0" w:color="auto"/>
            <w:left w:val="none" w:sz="0" w:space="0" w:color="auto"/>
            <w:bottom w:val="none" w:sz="0" w:space="0" w:color="auto"/>
            <w:right w:val="none" w:sz="0" w:space="0" w:color="auto"/>
          </w:divBdr>
        </w:div>
      </w:divsChild>
    </w:div>
    <w:div w:id="321004418">
      <w:bodyDiv w:val="1"/>
      <w:marLeft w:val="0"/>
      <w:marRight w:val="0"/>
      <w:marTop w:val="0"/>
      <w:marBottom w:val="0"/>
      <w:divBdr>
        <w:top w:val="none" w:sz="0" w:space="0" w:color="auto"/>
        <w:left w:val="none" w:sz="0" w:space="0" w:color="auto"/>
        <w:bottom w:val="none" w:sz="0" w:space="0" w:color="auto"/>
        <w:right w:val="none" w:sz="0" w:space="0" w:color="auto"/>
      </w:divBdr>
      <w:divsChild>
        <w:div w:id="1005475870">
          <w:marLeft w:val="0"/>
          <w:marRight w:val="0"/>
          <w:marTop w:val="0"/>
          <w:marBottom w:val="0"/>
          <w:divBdr>
            <w:top w:val="none" w:sz="0" w:space="0" w:color="auto"/>
            <w:left w:val="none" w:sz="0" w:space="0" w:color="auto"/>
            <w:bottom w:val="none" w:sz="0" w:space="0" w:color="auto"/>
            <w:right w:val="none" w:sz="0" w:space="0" w:color="auto"/>
          </w:divBdr>
        </w:div>
      </w:divsChild>
    </w:div>
    <w:div w:id="528686637">
      <w:bodyDiv w:val="1"/>
      <w:marLeft w:val="0"/>
      <w:marRight w:val="0"/>
      <w:marTop w:val="0"/>
      <w:marBottom w:val="0"/>
      <w:divBdr>
        <w:top w:val="none" w:sz="0" w:space="0" w:color="auto"/>
        <w:left w:val="none" w:sz="0" w:space="0" w:color="auto"/>
        <w:bottom w:val="none" w:sz="0" w:space="0" w:color="auto"/>
        <w:right w:val="none" w:sz="0" w:space="0" w:color="auto"/>
      </w:divBdr>
      <w:divsChild>
        <w:div w:id="1993365140">
          <w:marLeft w:val="0"/>
          <w:marRight w:val="0"/>
          <w:marTop w:val="0"/>
          <w:marBottom w:val="0"/>
          <w:divBdr>
            <w:top w:val="none" w:sz="0" w:space="0" w:color="auto"/>
            <w:left w:val="none" w:sz="0" w:space="0" w:color="auto"/>
            <w:bottom w:val="none" w:sz="0" w:space="0" w:color="auto"/>
            <w:right w:val="none" w:sz="0" w:space="0" w:color="auto"/>
          </w:divBdr>
        </w:div>
      </w:divsChild>
    </w:div>
    <w:div w:id="782110273">
      <w:bodyDiv w:val="1"/>
      <w:marLeft w:val="0"/>
      <w:marRight w:val="0"/>
      <w:marTop w:val="0"/>
      <w:marBottom w:val="0"/>
      <w:divBdr>
        <w:top w:val="none" w:sz="0" w:space="0" w:color="auto"/>
        <w:left w:val="none" w:sz="0" w:space="0" w:color="auto"/>
        <w:bottom w:val="none" w:sz="0" w:space="0" w:color="auto"/>
        <w:right w:val="none" w:sz="0" w:space="0" w:color="auto"/>
      </w:divBdr>
    </w:div>
    <w:div w:id="964316554">
      <w:bodyDiv w:val="1"/>
      <w:marLeft w:val="0"/>
      <w:marRight w:val="0"/>
      <w:marTop w:val="0"/>
      <w:marBottom w:val="0"/>
      <w:divBdr>
        <w:top w:val="none" w:sz="0" w:space="0" w:color="auto"/>
        <w:left w:val="none" w:sz="0" w:space="0" w:color="auto"/>
        <w:bottom w:val="none" w:sz="0" w:space="0" w:color="auto"/>
        <w:right w:val="none" w:sz="0" w:space="0" w:color="auto"/>
      </w:divBdr>
    </w:div>
    <w:div w:id="1215047442">
      <w:bodyDiv w:val="1"/>
      <w:marLeft w:val="0"/>
      <w:marRight w:val="0"/>
      <w:marTop w:val="0"/>
      <w:marBottom w:val="0"/>
      <w:divBdr>
        <w:top w:val="none" w:sz="0" w:space="0" w:color="auto"/>
        <w:left w:val="none" w:sz="0" w:space="0" w:color="auto"/>
        <w:bottom w:val="none" w:sz="0" w:space="0" w:color="auto"/>
        <w:right w:val="none" w:sz="0" w:space="0" w:color="auto"/>
      </w:divBdr>
    </w:div>
    <w:div w:id="1302811395">
      <w:bodyDiv w:val="1"/>
      <w:marLeft w:val="0"/>
      <w:marRight w:val="0"/>
      <w:marTop w:val="0"/>
      <w:marBottom w:val="0"/>
      <w:divBdr>
        <w:top w:val="none" w:sz="0" w:space="0" w:color="auto"/>
        <w:left w:val="none" w:sz="0" w:space="0" w:color="auto"/>
        <w:bottom w:val="none" w:sz="0" w:space="0" w:color="auto"/>
        <w:right w:val="none" w:sz="0" w:space="0" w:color="auto"/>
      </w:divBdr>
      <w:divsChild>
        <w:div w:id="1725829593">
          <w:marLeft w:val="0"/>
          <w:marRight w:val="0"/>
          <w:marTop w:val="0"/>
          <w:marBottom w:val="0"/>
          <w:divBdr>
            <w:top w:val="none" w:sz="0" w:space="0" w:color="auto"/>
            <w:left w:val="none" w:sz="0" w:space="0" w:color="auto"/>
            <w:bottom w:val="none" w:sz="0" w:space="0" w:color="auto"/>
            <w:right w:val="none" w:sz="0" w:space="0" w:color="auto"/>
          </w:divBdr>
        </w:div>
      </w:divsChild>
    </w:div>
    <w:div w:id="1755323180">
      <w:bodyDiv w:val="1"/>
      <w:marLeft w:val="0"/>
      <w:marRight w:val="0"/>
      <w:marTop w:val="0"/>
      <w:marBottom w:val="0"/>
      <w:divBdr>
        <w:top w:val="none" w:sz="0" w:space="0" w:color="auto"/>
        <w:left w:val="none" w:sz="0" w:space="0" w:color="auto"/>
        <w:bottom w:val="none" w:sz="0" w:space="0" w:color="auto"/>
        <w:right w:val="none" w:sz="0" w:space="0" w:color="auto"/>
      </w:divBdr>
      <w:divsChild>
        <w:div w:id="785003216">
          <w:marLeft w:val="0"/>
          <w:marRight w:val="0"/>
          <w:marTop w:val="0"/>
          <w:marBottom w:val="0"/>
          <w:divBdr>
            <w:top w:val="none" w:sz="0" w:space="0" w:color="auto"/>
            <w:left w:val="none" w:sz="0" w:space="0" w:color="auto"/>
            <w:bottom w:val="none" w:sz="0" w:space="0" w:color="auto"/>
            <w:right w:val="none" w:sz="0" w:space="0" w:color="auto"/>
          </w:divBdr>
        </w:div>
      </w:divsChild>
    </w:div>
    <w:div w:id="1893930578">
      <w:bodyDiv w:val="1"/>
      <w:marLeft w:val="0"/>
      <w:marRight w:val="0"/>
      <w:marTop w:val="0"/>
      <w:marBottom w:val="0"/>
      <w:divBdr>
        <w:top w:val="none" w:sz="0" w:space="0" w:color="auto"/>
        <w:left w:val="none" w:sz="0" w:space="0" w:color="auto"/>
        <w:bottom w:val="none" w:sz="0" w:space="0" w:color="auto"/>
        <w:right w:val="none" w:sz="0" w:space="0" w:color="auto"/>
      </w:divBdr>
      <w:divsChild>
        <w:div w:id="2066639088">
          <w:marLeft w:val="0"/>
          <w:marRight w:val="0"/>
          <w:marTop w:val="0"/>
          <w:marBottom w:val="0"/>
          <w:divBdr>
            <w:top w:val="none" w:sz="0" w:space="0" w:color="auto"/>
            <w:left w:val="none" w:sz="0" w:space="0" w:color="auto"/>
            <w:bottom w:val="none" w:sz="0" w:space="0" w:color="auto"/>
            <w:right w:val="none" w:sz="0" w:space="0" w:color="auto"/>
          </w:divBdr>
        </w:div>
      </w:divsChild>
    </w:div>
    <w:div w:id="1922520686">
      <w:bodyDiv w:val="1"/>
      <w:marLeft w:val="0"/>
      <w:marRight w:val="0"/>
      <w:marTop w:val="0"/>
      <w:marBottom w:val="0"/>
      <w:divBdr>
        <w:top w:val="none" w:sz="0" w:space="0" w:color="auto"/>
        <w:left w:val="none" w:sz="0" w:space="0" w:color="auto"/>
        <w:bottom w:val="none" w:sz="0" w:space="0" w:color="auto"/>
        <w:right w:val="none" w:sz="0" w:space="0" w:color="auto"/>
      </w:divBdr>
      <w:divsChild>
        <w:div w:id="454376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RW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V@RW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erexterneveiligheid.nl/activiteiten" TargetMode="External"/><Relationship Id="rId11" Type="http://schemas.openxmlformats.org/officeDocument/2006/relationships/hyperlink" Target="mailto:REV@RWS.nl" TargetMode="External"/><Relationship Id="rId5" Type="http://schemas.openxmlformats.org/officeDocument/2006/relationships/hyperlink" Target="https://registerexterneveiligheid.nl/" TargetMode="External"/><Relationship Id="rId10" Type="http://schemas.openxmlformats.org/officeDocument/2006/relationships/hyperlink" Target="https://registerexterneveiligheid.nl/sites/default/files/2019-12/Opdrachtgeverschap%20aandachtsgebieden%20en%20REV.pdf" TargetMode="External"/><Relationship Id="rId4" Type="http://schemas.openxmlformats.org/officeDocument/2006/relationships/webSettings" Target="webSettings.xml"/><Relationship Id="rId9" Type="http://schemas.openxmlformats.org/officeDocument/2006/relationships/hyperlink" Target="mailto:REV@RW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12385</Characters>
  <Application>Microsoft Office Word</Application>
  <DocSecurity>4</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Allouchi, Mohamed el (WVL)</dc:creator>
  <cp:keywords/>
  <dc:description/>
  <cp:lastModifiedBy>Allouchi, Mohamed el (WVL)</cp:lastModifiedBy>
  <cp:revision>2</cp:revision>
  <dcterms:created xsi:type="dcterms:W3CDTF">2021-04-09T14:10:00Z</dcterms:created>
  <dcterms:modified xsi:type="dcterms:W3CDTF">2021-04-09T14:10:00Z</dcterms:modified>
</cp:coreProperties>
</file>